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6345"/>
        <w:gridCol w:w="1134"/>
        <w:gridCol w:w="6237"/>
      </w:tblGrid>
      <w:tr w:rsidR="00375D65" w:rsidRPr="00375D65" w:rsidTr="00375D65">
        <w:tc>
          <w:tcPr>
            <w:tcW w:w="6345" w:type="dxa"/>
          </w:tcPr>
          <w:p w:rsidR="00375D65" w:rsidRPr="00375D65" w:rsidRDefault="00647273" w:rsidP="00375D65">
            <w:pPr>
              <w:pStyle w:val="OFGesetz"/>
            </w:pPr>
            <w:r>
              <w:fldChar w:fldCharType="begin"/>
            </w:r>
            <w:r w:rsidR="00C968C2">
              <w:instrText xml:space="preserve"> DOCPROPERTY "NameGesetz0" </w:instrText>
            </w:r>
            <w:r>
              <w:fldChar w:fldCharType="separate"/>
            </w:r>
            <w:r w:rsidR="00375D65" w:rsidRPr="00375D65">
              <w:t>Einführungsgesetz</w:t>
            </w:r>
            <w:r>
              <w:fldChar w:fldCharType="end"/>
            </w:r>
            <w:r w:rsidR="00375D65" w:rsidRPr="00375D65">
              <w:br/>
            </w:r>
            <w:fldSimple w:instr=" DOCPROPERTY &quot;NameGesetz1&quot; ">
              <w:r w:rsidR="00375D65" w:rsidRPr="00375D65">
                <w:t>zum Bundesgesetz über die Landwirtschaft</w:t>
              </w:r>
            </w:fldSimple>
            <w:r w:rsidRPr="00375D65">
              <w:fldChar w:fldCharType="begin"/>
            </w:r>
            <w:r w:rsidR="00375D65" w:rsidRPr="00375D65">
              <w:instrText xml:space="preserve"> DOCPROPERTY "NameGesetz2" </w:instrText>
            </w:r>
            <w:r w:rsidRPr="00375D65">
              <w:fldChar w:fldCharType="end"/>
            </w:r>
            <w:r w:rsidRPr="00375D65">
              <w:fldChar w:fldCharType="begin"/>
            </w:r>
            <w:r w:rsidR="00375D65" w:rsidRPr="00375D65">
              <w:instrText xml:space="preserve"> DOCPROPERTY "NameGesetz3" </w:instrText>
            </w:r>
            <w:r w:rsidRPr="00375D65">
              <w:fldChar w:fldCharType="end"/>
            </w:r>
            <w:r w:rsidR="00375D65" w:rsidRPr="00375D65">
              <w:br/>
              <w:t>(</w:t>
            </w:r>
            <w:fldSimple w:instr=" DOCPROPERTY &quot;KurzNameGesetz&quot; ">
              <w:r w:rsidR="00375D65" w:rsidRPr="00375D65">
                <w:t>Kantonales Landwirtschaftsgesetz</w:t>
              </w:r>
            </w:fldSimple>
            <w:r w:rsidR="00375D65" w:rsidRPr="00375D65">
              <w:t>)</w:t>
            </w:r>
          </w:p>
        </w:tc>
        <w:tc>
          <w:tcPr>
            <w:tcW w:w="1134" w:type="dxa"/>
          </w:tcPr>
          <w:p w:rsidR="00375D65" w:rsidRPr="00375D65" w:rsidRDefault="00375D65" w:rsidP="00375D65">
            <w:pPr>
              <w:pStyle w:val="OFAbsatz"/>
            </w:pPr>
          </w:p>
        </w:tc>
        <w:tc>
          <w:tcPr>
            <w:tcW w:w="6237" w:type="dxa"/>
          </w:tcPr>
          <w:p w:rsidR="00375D65" w:rsidRPr="00375D65" w:rsidRDefault="00647273" w:rsidP="00375D65">
            <w:pPr>
              <w:pStyle w:val="OFGesetz"/>
            </w:pPr>
            <w:fldSimple w:instr=" DOCPROPERTY &quot;NameGesetz0&quot; ">
              <w:r w:rsidR="00375D65" w:rsidRPr="00375D65">
                <w:t>Einführungsgesetz</w:t>
              </w:r>
            </w:fldSimple>
            <w:r w:rsidR="00375D65" w:rsidRPr="00375D65">
              <w:br/>
            </w:r>
            <w:fldSimple w:instr=" DOCPROPERTY &quot;NameGesetz1&quot; ">
              <w:r w:rsidR="00375D65" w:rsidRPr="00375D65">
                <w:t>zum Bundesgesetz über die Landwirtschaft</w:t>
              </w:r>
            </w:fldSimple>
            <w:r w:rsidRPr="00375D65">
              <w:fldChar w:fldCharType="begin"/>
            </w:r>
            <w:r w:rsidR="00375D65" w:rsidRPr="00375D65">
              <w:instrText xml:space="preserve"> DOCPROPERTY "NameGesetz2" </w:instrText>
            </w:r>
            <w:r w:rsidRPr="00375D65">
              <w:fldChar w:fldCharType="end"/>
            </w:r>
            <w:r w:rsidRPr="00375D65">
              <w:fldChar w:fldCharType="begin"/>
            </w:r>
            <w:r w:rsidR="00375D65" w:rsidRPr="00375D65">
              <w:instrText xml:space="preserve"> DOCPROPERTY "NameGesetz3" </w:instrText>
            </w:r>
            <w:r w:rsidRPr="00375D65">
              <w:fldChar w:fldCharType="end"/>
            </w:r>
            <w:r w:rsidR="00375D65" w:rsidRPr="00375D65">
              <w:br/>
              <w:t>(</w:t>
            </w:r>
            <w:fldSimple w:instr=" DOCPROPERTY &quot;KurzNameGesetz&quot; ">
              <w:r w:rsidR="00375D65" w:rsidRPr="00375D65">
                <w:t>Kantonales Landwirtschaftsgesetz</w:t>
              </w:r>
            </w:fldSimple>
            <w:r w:rsidR="00375D65">
              <w:t>, kLwG</w:t>
            </w:r>
            <w:r w:rsidR="00375D65" w:rsidRPr="00375D65">
              <w:t>)</w:t>
            </w:r>
          </w:p>
        </w:tc>
      </w:tr>
      <w:tr w:rsidR="00375D65" w:rsidRPr="00375D65" w:rsidTr="00375D65">
        <w:tc>
          <w:tcPr>
            <w:tcW w:w="6345" w:type="dxa"/>
          </w:tcPr>
          <w:p w:rsidR="00375D65" w:rsidRPr="00375D65" w:rsidRDefault="00375D65" w:rsidP="00375D65">
            <w:pPr>
              <w:pStyle w:val="OFDatumGesetz"/>
              <w:spacing w:after="360"/>
              <w:rPr>
                <w:rStyle w:val="Endnotenzeichen"/>
              </w:rPr>
            </w:pPr>
            <w:r w:rsidRPr="00375D65">
              <w:t xml:space="preserve">vom </w:t>
            </w:r>
            <w:fldSimple w:instr=" DOCPROPERTY &quot;DatumGesetz&quot; ">
              <w:r w:rsidRPr="00375D65">
                <w:t>24. Oktober 2001</w:t>
              </w:r>
            </w:fldSimple>
            <w:r w:rsidRPr="00375D65">
              <w:rPr>
                <w:rStyle w:val="Endnotenzeichen"/>
              </w:rPr>
              <w:t>1</w:t>
            </w:r>
          </w:p>
        </w:tc>
        <w:tc>
          <w:tcPr>
            <w:tcW w:w="1134" w:type="dxa"/>
          </w:tcPr>
          <w:p w:rsidR="00375D65" w:rsidRPr="00375D65" w:rsidRDefault="00375D65" w:rsidP="00375D65">
            <w:pPr>
              <w:pStyle w:val="OFAbsatz"/>
            </w:pPr>
          </w:p>
        </w:tc>
        <w:tc>
          <w:tcPr>
            <w:tcW w:w="6237" w:type="dxa"/>
          </w:tcPr>
          <w:p w:rsidR="00375D65" w:rsidRPr="00375D65" w:rsidRDefault="00375D65" w:rsidP="00375D65">
            <w:pPr>
              <w:pStyle w:val="OFAbsatz"/>
            </w:pPr>
          </w:p>
        </w:tc>
      </w:tr>
      <w:tr w:rsidR="00375D65" w:rsidRPr="00375D65" w:rsidTr="00375D65">
        <w:tc>
          <w:tcPr>
            <w:tcW w:w="6345" w:type="dxa"/>
          </w:tcPr>
          <w:p w:rsidR="00375D65" w:rsidRPr="00375D65" w:rsidRDefault="00375D65" w:rsidP="00375D65">
            <w:pPr>
              <w:pStyle w:val="OFRat"/>
            </w:pPr>
            <w:bookmarkStart w:id="0" w:name="OFRat"/>
            <w:bookmarkEnd w:id="0"/>
            <w:r w:rsidRPr="00375D65">
              <w:t>Der Landrat von Nidwalden,</w:t>
            </w:r>
          </w:p>
        </w:tc>
        <w:tc>
          <w:tcPr>
            <w:tcW w:w="1134" w:type="dxa"/>
          </w:tcPr>
          <w:p w:rsidR="00375D65" w:rsidRPr="00375D65" w:rsidRDefault="00375D65" w:rsidP="00375D65">
            <w:pPr>
              <w:pStyle w:val="OFAbsatz"/>
            </w:pPr>
          </w:p>
        </w:tc>
        <w:tc>
          <w:tcPr>
            <w:tcW w:w="6237" w:type="dxa"/>
          </w:tcPr>
          <w:p w:rsidR="00375D65" w:rsidRPr="00375D65" w:rsidRDefault="00375D65" w:rsidP="00375D65">
            <w:pPr>
              <w:pStyle w:val="OFAbsatz"/>
            </w:pPr>
          </w:p>
        </w:tc>
      </w:tr>
      <w:tr w:rsidR="00375D65" w:rsidRPr="00375D65" w:rsidTr="00375D65">
        <w:tc>
          <w:tcPr>
            <w:tcW w:w="6345" w:type="dxa"/>
          </w:tcPr>
          <w:p w:rsidR="00375D65" w:rsidRPr="00375D65" w:rsidRDefault="00375D65" w:rsidP="00375D65">
            <w:pPr>
              <w:pStyle w:val="OFGrundlagen"/>
            </w:pPr>
            <w:r w:rsidRPr="00375D65">
              <w:t>gestützt auf Art. 60 der Kantonsverfassung, in Ausführung des Bu</w:t>
            </w:r>
            <w:r w:rsidRPr="00375D65">
              <w:t>n</w:t>
            </w:r>
            <w:r w:rsidRPr="00375D65">
              <w:t>desgesetzes vom 29. April 1998 über die Landwirtschaft (Landwir</w:t>
            </w:r>
            <w:r w:rsidRPr="00375D65">
              <w:t>t</w:t>
            </w:r>
            <w:r w:rsidRPr="00375D65">
              <w:t>schaftsgesetz, LwG)</w:t>
            </w:r>
            <w:r w:rsidRPr="00375D65">
              <w:rPr>
                <w:rStyle w:val="Endnotenzeichen"/>
              </w:rPr>
              <w:t>2</w:t>
            </w:r>
            <w:r w:rsidRPr="00375D65">
              <w:t>,</w:t>
            </w:r>
          </w:p>
        </w:tc>
        <w:tc>
          <w:tcPr>
            <w:tcW w:w="1134" w:type="dxa"/>
          </w:tcPr>
          <w:p w:rsidR="00375D65" w:rsidRPr="00375D65" w:rsidRDefault="00375D65" w:rsidP="00375D65">
            <w:pPr>
              <w:pStyle w:val="OFAbsatz"/>
            </w:pPr>
          </w:p>
        </w:tc>
        <w:tc>
          <w:tcPr>
            <w:tcW w:w="6237" w:type="dxa"/>
          </w:tcPr>
          <w:p w:rsidR="00375D65" w:rsidRPr="00375D65" w:rsidRDefault="00375D65" w:rsidP="00375D65">
            <w:pPr>
              <w:pStyle w:val="OFAbsatz"/>
            </w:pPr>
          </w:p>
        </w:tc>
      </w:tr>
      <w:tr w:rsidR="00375D65" w:rsidRPr="00375D65" w:rsidTr="00375D65">
        <w:tc>
          <w:tcPr>
            <w:tcW w:w="6345" w:type="dxa"/>
          </w:tcPr>
          <w:p w:rsidR="00375D65" w:rsidRPr="00375D65" w:rsidRDefault="00375D65" w:rsidP="00375D65">
            <w:pPr>
              <w:pStyle w:val="OFRat"/>
            </w:pPr>
            <w:r w:rsidRPr="00375D65">
              <w:t>beschliesst:</w:t>
            </w:r>
          </w:p>
        </w:tc>
        <w:tc>
          <w:tcPr>
            <w:tcW w:w="1134" w:type="dxa"/>
          </w:tcPr>
          <w:p w:rsidR="00375D65" w:rsidRPr="00375D65" w:rsidRDefault="00375D65" w:rsidP="00375D65">
            <w:pPr>
              <w:pStyle w:val="OFAbsatz"/>
            </w:pPr>
          </w:p>
        </w:tc>
        <w:tc>
          <w:tcPr>
            <w:tcW w:w="6237" w:type="dxa"/>
          </w:tcPr>
          <w:p w:rsidR="00375D65" w:rsidRPr="00375D65" w:rsidRDefault="00375D65" w:rsidP="00375D65">
            <w:pPr>
              <w:pStyle w:val="OFAbsatz"/>
            </w:pPr>
          </w:p>
        </w:tc>
      </w:tr>
      <w:tr w:rsidR="00375D65" w:rsidRPr="00375D65" w:rsidTr="00375D65">
        <w:tc>
          <w:tcPr>
            <w:tcW w:w="6345" w:type="dxa"/>
          </w:tcPr>
          <w:p w:rsidR="00375D65" w:rsidRPr="00375D65" w:rsidRDefault="00375D65" w:rsidP="00375D65">
            <w:pPr>
              <w:pStyle w:val="OFGliederung1"/>
              <w:ind w:left="0" w:firstLine="0"/>
            </w:pPr>
            <w:r w:rsidRPr="00375D65">
              <w:t>I.</w:t>
            </w:r>
            <w:r w:rsidRPr="00375D65">
              <w:tab/>
              <w:t>ALLGEMEINE BESTIMMUNGEN</w:t>
            </w:r>
          </w:p>
        </w:tc>
        <w:tc>
          <w:tcPr>
            <w:tcW w:w="1134" w:type="dxa"/>
          </w:tcPr>
          <w:p w:rsidR="00375D65" w:rsidRPr="00375D65" w:rsidRDefault="00375D65" w:rsidP="00375D65">
            <w:pPr>
              <w:pStyle w:val="OFAbsatz"/>
            </w:pPr>
          </w:p>
        </w:tc>
        <w:tc>
          <w:tcPr>
            <w:tcW w:w="6237" w:type="dxa"/>
          </w:tcPr>
          <w:p w:rsidR="00375D65" w:rsidRPr="00375D65" w:rsidRDefault="00375D65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1</w:t>
            </w:r>
            <w:r w:rsidRPr="00375D65">
              <w:tab/>
              <w:t>Gegenstand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E11384">
            <w:pPr>
              <w:pStyle w:val="OFArtikel"/>
            </w:pPr>
            <w:r w:rsidRPr="00375D65">
              <w:t>1</w:t>
            </w:r>
            <w:r w:rsidRPr="00375D65">
              <w:tab/>
              <w:t>Gegenstand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bsatz"/>
            </w:pPr>
            <w:r w:rsidRPr="00375D65">
              <w:t>Dieses Gesetz regelt den Vollzug der Bundesgesetzgebung über die Landwirtschaft sowie die Förderung und Unterstützung einer ökol</w:t>
            </w:r>
            <w:r w:rsidRPr="00375D65">
              <w:t>o</w:t>
            </w:r>
            <w:r w:rsidRPr="00375D65">
              <w:t>gisch ausgerichteten Landwirtschaft durch den Kanton.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  <w:r>
              <w:t>Dieses Gesetz regelt den Vollzug der Bundesgesetzgebung über die Landwirtschaft sowie die Förderung und Unterstützung einer produzierenden und nachhaltigen Landwirtschaft durch den Kanton.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2</w:t>
            </w:r>
            <w:r w:rsidRPr="00375D65">
              <w:tab/>
              <w:t>Grundsatz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unterstützt die Bestrebungen und Massnahmen des Bundes, damit die Landwirtschaft durch eine nachhaltige und auf den Markt ausgerichtete Produktion einen wesentlichen Beitrag leistet zur: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1.</w:t>
            </w:r>
            <w:r w:rsidRPr="00375D65">
              <w:tab/>
              <w:t>sicheren Versorgung der Bevölkerung;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2.</w:t>
            </w:r>
            <w:r w:rsidRPr="00375D65">
              <w:tab/>
              <w:t>Erhaltung der natürlichen Lebensgrundlagen;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3.</w:t>
            </w:r>
            <w:r w:rsidRPr="00375D65">
              <w:tab/>
              <w:t>Pflege der Kulturlandschaft;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E11384">
        <w:tc>
          <w:tcPr>
            <w:tcW w:w="6345" w:type="dxa"/>
          </w:tcPr>
          <w:p w:rsidR="00521953" w:rsidRPr="00375D65" w:rsidRDefault="00521953" w:rsidP="00E11384">
            <w:pPr>
              <w:pStyle w:val="OFAufzhlung1"/>
              <w:ind w:left="0" w:firstLine="0"/>
            </w:pPr>
            <w:r w:rsidRPr="00375D65">
              <w:t>4.</w:t>
            </w:r>
            <w:r w:rsidRPr="00375D65">
              <w:tab/>
              <w:t>dezentralen Besiedlung des Landes.</w:t>
            </w:r>
          </w:p>
        </w:tc>
        <w:tc>
          <w:tcPr>
            <w:tcW w:w="1134" w:type="dxa"/>
          </w:tcPr>
          <w:p w:rsidR="00521953" w:rsidRPr="00375D65" w:rsidRDefault="00521953" w:rsidP="00E11384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E11384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E11384">
            <w:pPr>
              <w:pStyle w:val="OFAufzhlung1"/>
              <w:ind w:left="0" w:firstLine="0"/>
            </w:pP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461DE3">
            <w:pPr>
              <w:pStyle w:val="OFAbsatz"/>
            </w:pPr>
            <w:r>
              <w:t>5</w:t>
            </w:r>
            <w:r w:rsidRPr="00375D65">
              <w:t>.</w:t>
            </w:r>
            <w:r w:rsidRPr="00375D65">
              <w:tab/>
            </w:r>
            <w:r>
              <w:t>Gewährleistung des Tierwohls</w:t>
            </w:r>
            <w:r w:rsidRPr="00375D65">
              <w:t>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trifft eigene Massnahmen: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1.</w:t>
            </w:r>
            <w:r w:rsidRPr="00375D65">
              <w:tab/>
              <w:t>zur Förderung von Produktion, Qualität, Verarbeitung und A</w:t>
            </w:r>
            <w:r w:rsidRPr="00375D65">
              <w:t>b</w:t>
            </w:r>
            <w:r w:rsidRPr="00375D65">
              <w:t>satz marktfähiger landwirtschaftlicher Produkte, die auf Betrieben mit ökologischem Leistungsnachweis hergestellt werden;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lastRenderedPageBreak/>
              <w:t>2.</w:t>
            </w:r>
            <w:r w:rsidRPr="00375D65">
              <w:tab/>
              <w:t>zur Erhaltung und Festigung eigenständiger Familienbetriebe;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3.</w:t>
            </w:r>
            <w:r w:rsidRPr="00375D65">
              <w:rPr>
                <w:rStyle w:val="Endnotenzeichen"/>
              </w:rPr>
              <w:t>22</w:t>
            </w:r>
            <w:r w:rsidRPr="00375D65">
              <w:tab/>
              <w:t>für eine zukunftsgerichtete Weiterbildung und Beratung;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4.</w:t>
            </w:r>
            <w:r w:rsidRPr="00375D65">
              <w:tab/>
              <w:t>zur Schaffung günstiger Rahmenbedingungen für die Entwic</w:t>
            </w:r>
            <w:r w:rsidRPr="00375D65">
              <w:t>k</w:t>
            </w:r>
            <w:r w:rsidRPr="00375D65">
              <w:t>lung der Landwirtschaft und wirtschaftlich tragfähiger Betriebe.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Gliederung1"/>
              <w:ind w:left="0" w:firstLine="0"/>
            </w:pPr>
            <w:r w:rsidRPr="00375D65">
              <w:t>II.</w:t>
            </w:r>
            <w:r w:rsidRPr="00375D65">
              <w:tab/>
              <w:t>PRODUKTION, QUALITÄT UND ABSATZ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3</w:t>
            </w:r>
            <w:r w:rsidRPr="00375D65">
              <w:tab/>
              <w:t>Bewirtschaftungsmethoden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  <w:rPr>
                <w:rStyle w:val="Endnotenzeichen"/>
              </w:rPr>
            </w:pPr>
            <w:r w:rsidRPr="00375D65">
              <w:t>Der Kanton fördert besonders umwelt- und standortgerechte B</w:t>
            </w:r>
            <w:r w:rsidRPr="00375D65">
              <w:t>e</w:t>
            </w:r>
            <w:r w:rsidRPr="00375D65">
              <w:t>wirtschaftungsmethoden sowie tierfreundliche Produktionsformen.</w:t>
            </w:r>
            <w:r w:rsidRPr="00375D65">
              <w:rPr>
                <w:rStyle w:val="Endnotenzeichen"/>
              </w:rPr>
              <w:t>22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461DE3">
            <w:pPr>
              <w:pStyle w:val="berschrift3"/>
              <w:numPr>
                <w:ilvl w:val="0"/>
                <w:numId w:val="0"/>
              </w:numPr>
              <w:ind w:firstLine="142"/>
            </w:pPr>
            <w:r w:rsidRPr="00461DE3">
              <w:rPr>
                <w:vertAlign w:val="subscript"/>
              </w:rPr>
              <w:t>1</w:t>
            </w:r>
            <w:r>
              <w:t xml:space="preserve"> Der Kanton fördert besonders umweltgerechte, landschaftsve</w:t>
            </w:r>
            <w:r>
              <w:t>r</w:t>
            </w:r>
            <w:r>
              <w:t>trägliche und ressourceneffiziente Bewirtschaftungsmethoden und Produktionssysteme sowie tierfreundliche Produktionsformen.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unterstützt Massnahmen zur Förderung der Verne</w:t>
            </w:r>
            <w:r w:rsidRPr="00375D65">
              <w:t>t</w:t>
            </w:r>
            <w:r w:rsidRPr="00375D65">
              <w:t>zung und der Qualität von ökologischen Ausgleichsflächen in der Landwirtschaft.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E11384">
            <w:pPr>
              <w:pStyle w:val="berschrift3"/>
              <w:numPr>
                <w:ilvl w:val="0"/>
                <w:numId w:val="0"/>
              </w:numPr>
              <w:ind w:firstLine="142"/>
            </w:pPr>
            <w:r w:rsidRPr="00461DE3">
              <w:rPr>
                <w:vertAlign w:val="subscript"/>
              </w:rPr>
              <w:t>2</w:t>
            </w:r>
            <w:r>
              <w:t xml:space="preserve"> Er unterstützt Massnahmen zur Förderung einer umweltgerec</w:t>
            </w:r>
            <w:r>
              <w:t>h</w:t>
            </w:r>
            <w:r>
              <w:t>ten und ressourceneffizienten Landwirtschaft wie die Biodiversität und die Landschaftsqualität.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Regierungsrat regelt die Voraussetzungen und die Höhe der Beiträge.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3a</w:t>
            </w:r>
            <w:r w:rsidRPr="00375D65">
              <w:tab/>
              <w:t>Hochstammbäume</w:t>
            </w:r>
            <w:r w:rsidRPr="00375D65">
              <w:rPr>
                <w:rStyle w:val="Endnotenzeichen"/>
                <w:b/>
              </w:rPr>
              <w:t>22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461DE3" w:rsidRDefault="00521953" w:rsidP="00375D65">
            <w:pPr>
              <w:pStyle w:val="OFAbsatz"/>
              <w:rPr>
                <w:i/>
              </w:rPr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richtet zur Förderung der Ökologie und der Wer</w:t>
            </w:r>
            <w:r w:rsidRPr="00375D65">
              <w:t>t</w:t>
            </w:r>
            <w:r w:rsidRPr="00375D65">
              <w:t>schöpfung sowie zur Erhaltung des typischen Landschaftsbildes für Neu- oder Ersatzpflanzungen von Hochstammbäumen Beiträge aus.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704E6A" w:rsidP="00EB260B">
            <w:pPr>
              <w:pStyle w:val="OFAbsatz"/>
            </w:pPr>
            <w:r w:rsidRPr="00704E6A">
              <w:rPr>
                <w:vertAlign w:val="subscript"/>
              </w:rPr>
              <w:t>1</w:t>
            </w:r>
            <w:r>
              <w:t xml:space="preserve"> Der Kanton richtet zur Erhaltung des typischen Landschaftsbildes für Ersatzpflanzungen von Hochstammbäumen Beiträge aus.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Regierungsrat regelt die Voraussetzungen und die Höhe der Beiträge.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4</w:t>
            </w:r>
            <w:r w:rsidRPr="00375D65">
              <w:tab/>
              <w:t>Tierzucht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461DE3">
            <w:pPr>
              <w:pStyle w:val="OFArtikel"/>
            </w:pPr>
            <w:r w:rsidRPr="00375D65">
              <w:t>4</w:t>
            </w:r>
            <w:r w:rsidRPr="00375D65">
              <w:tab/>
            </w:r>
            <w:r>
              <w:t>Tiere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...</w:t>
            </w:r>
            <w:r w:rsidRPr="00375D65">
              <w:rPr>
                <w:rStyle w:val="Endnotenzeichen"/>
              </w:rPr>
              <w:t>25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461DE3">
            <w:pPr>
              <w:pStyle w:val="berschrift3"/>
              <w:numPr>
                <w:ilvl w:val="0"/>
                <w:numId w:val="0"/>
              </w:numPr>
            </w:pPr>
            <w:r>
              <w:t>Der Kanton kann Ausstellungen von Nutztieren sowie die Förd</w:t>
            </w:r>
            <w:r>
              <w:t>e</w:t>
            </w:r>
            <w:r>
              <w:t>rung des Viehabsatzes mit Beiträgen unterstützen. Er schliesst mit den Leistungserbringern Verträge ab.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kann Ausstellungen von Nutztieren und weitere Massnahmen unterstützen. Er schliesst mit den Leistungserbringern Verträge ab.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5</w:t>
            </w:r>
            <w:r w:rsidRPr="00375D65">
              <w:tab/>
              <w:t>Pflanzenschutz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trifft Massnahmen zur Überwachung und Bekämpfung regional bedeutsamer Pflanzenkrankheiten und -schädlinge.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704E6A" w:rsidRDefault="00704E6A" w:rsidP="00375D65">
            <w:pPr>
              <w:pStyle w:val="OFAbsatz"/>
              <w:rPr>
                <w:vertAlign w:val="subscript"/>
              </w:rPr>
            </w:pPr>
            <w:r w:rsidRPr="00704E6A">
              <w:rPr>
                <w:vertAlign w:val="subscript"/>
              </w:rPr>
              <w:t xml:space="preserve">1 </w:t>
            </w:r>
            <w:r w:rsidRPr="00704E6A">
              <w:t>D</w:t>
            </w:r>
            <w:r>
              <w:t>er Kanton trifft Massnahmen zur Überwachung und Bekämpfung regional bedeutsamer Pflanzenkrankheiten, invasiver Pflanzen und Pflanzenschädlingen.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Pflanzenschutzdienst wird vom zuständigen Amt wahrg</w:t>
            </w:r>
            <w:r w:rsidRPr="00375D65">
              <w:t>e</w:t>
            </w:r>
            <w:r w:rsidRPr="00375D65">
              <w:lastRenderedPageBreak/>
              <w:t>nommen; es vollzieht und überwacht die vom Bund oder dem Kanton angeordneten Massnahmen.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lastRenderedPageBreak/>
              <w:t>Der Regierungsrat regelt die Voraussetzungen sowie die Höhe der Abfindungen.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E11384">
            <w:pPr>
              <w:pStyle w:val="OFArtikel"/>
            </w:pPr>
            <w:r w:rsidRPr="00375D65">
              <w:t>6</w:t>
            </w:r>
            <w:r w:rsidRPr="00375D65">
              <w:tab/>
              <w:t>Alpwirtschaft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bsatz"/>
            </w:pPr>
            <w:r w:rsidRPr="00375D65">
              <w:t>Der Kanton fördert namentlich durch Beratung und Strukturverbess</w:t>
            </w:r>
            <w:r w:rsidRPr="00375D65">
              <w:t>e</w:t>
            </w:r>
            <w:r w:rsidRPr="00375D65">
              <w:t>rungsmassnahmen eine rationelle und nachhaltige Bewirtschaftung der Alpen; er kann eine besonders umwelt- und standortgerechte Alpwirtschaft mit Beiträgen unterstützen.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EB260B" w:rsidRPr="00375D65" w:rsidTr="00375D65">
        <w:tc>
          <w:tcPr>
            <w:tcW w:w="6345" w:type="dxa"/>
          </w:tcPr>
          <w:p w:rsidR="00EB260B" w:rsidRPr="00375D65" w:rsidRDefault="00EB260B" w:rsidP="00375D65">
            <w:pPr>
              <w:pStyle w:val="OFArtikel"/>
            </w:pPr>
            <w:r w:rsidRPr="00375D65">
              <w:t>7</w:t>
            </w:r>
            <w:r w:rsidRPr="00375D65">
              <w:tab/>
              <w:t>Kantonale Steillagenbeiträge</w:t>
            </w:r>
          </w:p>
        </w:tc>
        <w:tc>
          <w:tcPr>
            <w:tcW w:w="1134" w:type="dxa"/>
          </w:tcPr>
          <w:p w:rsidR="00EB260B" w:rsidRPr="00375D65" w:rsidRDefault="00EB260B" w:rsidP="00375D65">
            <w:pPr>
              <w:pStyle w:val="OFAbsatz"/>
            </w:pPr>
          </w:p>
        </w:tc>
        <w:tc>
          <w:tcPr>
            <w:tcW w:w="6237" w:type="dxa"/>
          </w:tcPr>
          <w:p w:rsidR="00EB260B" w:rsidRPr="00EB260B" w:rsidRDefault="00EB260B" w:rsidP="00EB260B">
            <w:pPr>
              <w:pStyle w:val="OFArtikel"/>
              <w:numPr>
                <w:ilvl w:val="0"/>
                <w:numId w:val="0"/>
              </w:numPr>
              <w:rPr>
                <w:b w:val="0"/>
                <w:i/>
              </w:rPr>
            </w:pPr>
            <w:r w:rsidRPr="00EB260B">
              <w:rPr>
                <w:b w:val="0"/>
                <w:i/>
              </w:rPr>
              <w:t>Aufgehoben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richtet zum Schutz und zur Pflege der Kulturlan</w:t>
            </w:r>
            <w:r w:rsidRPr="00375D65">
              <w:t>d</w:t>
            </w:r>
            <w:r w:rsidRPr="00375D65">
              <w:t>schaft Beiträge aus für die standortgerechte Bewirtschaftung von Mäh- und Streuwiesen in Steillagen von mehr als 35 Prozent Ne</w:t>
            </w:r>
            <w:r w:rsidRPr="00375D65">
              <w:t>i</w:t>
            </w:r>
            <w:r w:rsidRPr="00375D65">
              <w:t>gung.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Regierungsrat bestimmt den Beitrag je Flächeneinheit; er b</w:t>
            </w:r>
            <w:r w:rsidRPr="00375D65">
              <w:t>e</w:t>
            </w:r>
            <w:r w:rsidRPr="00375D65">
              <w:t>rücksichtigt dabei die Nutzungsart und die Bewirtschaftungse</w:t>
            </w:r>
            <w:r w:rsidRPr="00375D65">
              <w:t>r</w:t>
            </w:r>
            <w:r w:rsidRPr="00375D65">
              <w:t>schwer</w:t>
            </w:r>
            <w:r w:rsidRPr="00375D65">
              <w:softHyphen/>
              <w:t>nisse.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8</w:t>
            </w:r>
            <w:r w:rsidRPr="00375D65">
              <w:tab/>
              <w:t>Duldungspflicht bei Brachland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412DF7">
            <w:pPr>
              <w:pStyle w:val="berschrift3"/>
            </w:pPr>
            <w:r w:rsidRPr="00375D65">
              <w:t>Die zuständige Direktion entscheidet auf Gesuch hin und nach Anhören der Grundeigentümerin oder des Grundeigentümers, ob die Bewirtschaftung und Pflege von Brachland gemäss Art. 71 des Landwirtschaftsgesetzes</w:t>
            </w:r>
            <w:r w:rsidRPr="00375D65">
              <w:rPr>
                <w:rStyle w:val="Endnotenzeichen"/>
              </w:rPr>
              <w:t>2</w:t>
            </w:r>
            <w:r w:rsidRPr="00375D65">
              <w:t xml:space="preserve"> im Einzelfall zu dulden ist.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E11384">
            <w:pPr>
              <w:pStyle w:val="berschrift3"/>
              <w:numPr>
                <w:ilvl w:val="0"/>
                <w:numId w:val="0"/>
              </w:numPr>
              <w:ind w:firstLine="142"/>
            </w:pPr>
            <w:r w:rsidRPr="00461DE3">
              <w:rPr>
                <w:vertAlign w:val="subscript"/>
              </w:rPr>
              <w:t>1</w:t>
            </w:r>
            <w:r>
              <w:t xml:space="preserve"> Die Direktion entscheidet auf Gesuch hin und nach Anhören der Grundeigentümerin oder des Grundeigentümers, ob die Be</w:t>
            </w:r>
            <w:r w:rsidR="005C3BE4">
              <w:softHyphen/>
            </w:r>
            <w:r>
              <w:t>wirtschaftung und P</w:t>
            </w:r>
            <w:r w:rsidR="00BE2D0B">
              <w:t xml:space="preserve">flege von Brachland gemäss Art. </w:t>
            </w:r>
            <w:r>
              <w:t>165b des Landwirtschaftsgesetzes</w:t>
            </w:r>
            <w:r>
              <w:rPr>
                <w:rStyle w:val="Endnotenzeichen"/>
              </w:rPr>
              <w:t>2</w:t>
            </w:r>
            <w:r>
              <w:t xml:space="preserve"> im Einzelfall zu dulden ist.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Sie kann die Art der Bewirtschaftung vorschreiben, um die Erha</w:t>
            </w:r>
            <w:r w:rsidRPr="00375D65">
              <w:t>l</w:t>
            </w:r>
            <w:r w:rsidRPr="00375D65">
              <w:t>tung der landwirtschaftlichen Nutzflächen und der Sömmerungs</w:t>
            </w:r>
            <w:r w:rsidR="005C3BE4">
              <w:softHyphen/>
            </w:r>
            <w:r w:rsidRPr="00375D65">
              <w:t>weiden sicherzustellen.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9</w:t>
            </w:r>
            <w:r w:rsidRPr="00375D65">
              <w:tab/>
              <w:t>Hilfsaktionen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E11384" w:rsidRPr="00375D65" w:rsidRDefault="00521953" w:rsidP="00E11384">
            <w:pPr>
              <w:pStyle w:val="OFAbsatz"/>
            </w:pPr>
            <w:r w:rsidRPr="00375D65">
              <w:t>Der Kanton kann Hilfsaktionen unterstützen oder durchführen, sofern Landwirtschaftsbetriebe als Folge von Trockenheit, schlechter Witt</w:t>
            </w:r>
            <w:r w:rsidRPr="00375D65">
              <w:t>e</w:t>
            </w:r>
            <w:r w:rsidRPr="00375D65">
              <w:t>rung, Schädlingsbefall oder anderer natürlicher Ereignisse aussero</w:t>
            </w:r>
            <w:r w:rsidRPr="00375D65">
              <w:t>r</w:t>
            </w:r>
            <w:r w:rsidRPr="00375D65">
              <w:t>dentliche wirtschaftliche Einbussen erleiden. Ausgenommen davon sind versicherbare Schäden.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E11384" w:rsidRPr="00375D65" w:rsidRDefault="00E11384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10</w:t>
            </w:r>
            <w:r w:rsidRPr="00375D65">
              <w:tab/>
              <w:t>Qualität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unterstützt im Rahmen der bundesrechtlichen Vorg</w:t>
            </w:r>
            <w:r w:rsidRPr="00375D65">
              <w:t>a</w:t>
            </w:r>
            <w:r w:rsidRPr="00375D65">
              <w:t>ben die Qualitätsförderung und Qualitätssicherung.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lastRenderedPageBreak/>
              <w:t>Er kann weitere Massnahmen zur Qualitätsförderung von lan</w:t>
            </w:r>
            <w:r w:rsidRPr="00375D65">
              <w:t>d</w:t>
            </w:r>
            <w:r w:rsidRPr="00375D65">
              <w:t>wirtschaftlichen Produkten unterstützen, sofern eine angemessene Selbsthilfe geleistet wird.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Er kann Bestrebungen zum Schutz der Bezeichnungen von Qual</w:t>
            </w:r>
            <w:r w:rsidRPr="00375D65">
              <w:t>i</w:t>
            </w:r>
            <w:r w:rsidRPr="00375D65">
              <w:t>tätsprodukten, insbesondere Ursprungsbezeichnungen, regionale Herkunftsbezeichnungen, Qualitätsmarken und Gütezeichen unte</w:t>
            </w:r>
            <w:r w:rsidRPr="00375D65">
              <w:t>r</w:t>
            </w:r>
            <w:r w:rsidRPr="00375D65">
              <w:t>stützen.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11</w:t>
            </w:r>
            <w:r w:rsidRPr="00375D65">
              <w:tab/>
              <w:t>Absatzförderung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unterstützt Marktentlastungsmassnahmen, soweit der Bund eine finanzielle Leistung erbringt und hierfür eine kantonale Leistung voraussetzt.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kann weitere Massnahmen und Projekte zur Förd</w:t>
            </w:r>
            <w:r w:rsidRPr="00375D65">
              <w:t>e</w:t>
            </w:r>
            <w:r w:rsidRPr="00375D65">
              <w:t>rung des Absatzes von Landwirtschaftsprodukten mit Beiträgen u</w:t>
            </w:r>
            <w:r w:rsidRPr="00375D65">
              <w:t>n</w:t>
            </w:r>
            <w:r w:rsidRPr="00375D65">
              <w:t>terstützen. Die Beiträge sind in der Regel zu befristen.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Die Unterstützung setzt voraus, dass die weiteren Massnahmen und Projekte: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1.</w:t>
            </w:r>
            <w:r w:rsidRPr="00375D65">
              <w:tab/>
              <w:t>von der Trägerschaft angemessen mitgetragen werden;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2.</w:t>
            </w:r>
            <w:r w:rsidRPr="00375D65">
              <w:tab/>
              <w:t>die Wertschöpfung sichern oder steigern;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3.</w:t>
            </w:r>
            <w:r w:rsidRPr="00375D65">
              <w:tab/>
              <w:t>auf Innovation oder Diversifikation ausgerichtet sind;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4.</w:t>
            </w:r>
            <w:r w:rsidRPr="00375D65">
              <w:tab/>
              <w:t>regionalwirtschaftlichen Interessen nicht zuwiderlaufen; und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5.</w:t>
            </w:r>
            <w:r w:rsidRPr="00375D65">
              <w:tab/>
              <w:t>eine nachhaltige Wirkung entfalten.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Gliederung1"/>
              <w:ind w:left="0" w:firstLine="0"/>
            </w:pPr>
            <w:r w:rsidRPr="00375D65">
              <w:t>III.</w:t>
            </w:r>
            <w:r w:rsidRPr="00375D65">
              <w:tab/>
              <w:t>SOZIALE BEGLEITMASSNAHMEN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12</w:t>
            </w:r>
            <w:r w:rsidRPr="00375D65">
              <w:tab/>
              <w:t>Betriebshilfe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bsatz"/>
            </w:pPr>
            <w:r w:rsidRPr="00375D65">
              <w:t>Der Kanton gewährt Betriebshilfe in Form von zinslosen Darlehen gemäss den bundesrechtlichen Bestimmungen.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13</w:t>
            </w:r>
            <w:r w:rsidRPr="00375D65">
              <w:tab/>
              <w:t>Betriebsumstellungen, Betriebsaufgaben</w:t>
            </w:r>
            <w:r w:rsidRPr="00375D65">
              <w:rPr>
                <w:rStyle w:val="Endnotenzeichen"/>
                <w:b/>
              </w:rPr>
              <w:t>22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EB260B" w:rsidRPr="00375D65" w:rsidTr="00375D65">
        <w:tc>
          <w:tcPr>
            <w:tcW w:w="6345" w:type="dxa"/>
          </w:tcPr>
          <w:p w:rsidR="00EB260B" w:rsidRPr="00375D65" w:rsidRDefault="00EB260B" w:rsidP="00375D65">
            <w:pPr>
              <w:pStyle w:val="berschrift3"/>
            </w:pPr>
            <w:r w:rsidRPr="00375D65">
              <w:t>Der Kanton leistet zur Verhinderung sozialer Härtefälle an die E</w:t>
            </w:r>
            <w:r w:rsidRPr="00375D65">
              <w:t>r</w:t>
            </w:r>
            <w:r w:rsidRPr="00375D65">
              <w:t>arbeitung von Entscheidungsgrundlagen für Betriebsumstellungen oder Betriebsaufgaben Beiträge von höchstens 50 Prozent der anr</w:t>
            </w:r>
            <w:r w:rsidRPr="00375D65">
              <w:t>e</w:t>
            </w:r>
            <w:r w:rsidRPr="00375D65">
              <w:t>chenbaren Kosten.</w:t>
            </w:r>
          </w:p>
        </w:tc>
        <w:tc>
          <w:tcPr>
            <w:tcW w:w="1134" w:type="dxa"/>
          </w:tcPr>
          <w:p w:rsidR="00EB260B" w:rsidRPr="00375D65" w:rsidRDefault="00EB260B" w:rsidP="00375D65">
            <w:pPr>
              <w:pStyle w:val="OFAbsatz"/>
            </w:pPr>
          </w:p>
        </w:tc>
        <w:tc>
          <w:tcPr>
            <w:tcW w:w="6237" w:type="dxa"/>
          </w:tcPr>
          <w:p w:rsidR="00EB260B" w:rsidRPr="00375D65" w:rsidRDefault="00EB260B" w:rsidP="00EB260B">
            <w:pPr>
              <w:pStyle w:val="berschrift3"/>
              <w:numPr>
                <w:ilvl w:val="0"/>
                <w:numId w:val="0"/>
              </w:numPr>
              <w:ind w:firstLine="142"/>
            </w:pPr>
            <w:r w:rsidRPr="00461DE3">
              <w:rPr>
                <w:vertAlign w:val="subscript"/>
              </w:rPr>
              <w:t>1</w:t>
            </w:r>
            <w:r>
              <w:t xml:space="preserve"> Der Kanton leistet an die Erarbeitung von Entscheidungsgrun</w:t>
            </w:r>
            <w:r>
              <w:t>d</w:t>
            </w:r>
            <w:r>
              <w:t>lagen für Betriebsumstellungen oder Betriebsaufgaben Beiträge von höchstens 50 Prozent der anrechenbaren Kosten.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Regierungsrat regelt die anrechenbaren Kosten und den Höchstbeitrag pro Betrieb.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lastRenderedPageBreak/>
              <w:t>14</w:t>
            </w:r>
            <w:r w:rsidRPr="00375D65">
              <w:tab/>
              <w:t>...</w:t>
            </w:r>
            <w:r w:rsidRPr="00375D65">
              <w:rPr>
                <w:rStyle w:val="Endnotenzeichen"/>
                <w:b/>
              </w:rPr>
              <w:t>22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Gliederung1"/>
              <w:ind w:left="0" w:firstLine="0"/>
            </w:pPr>
            <w:r w:rsidRPr="00375D65">
              <w:t>IV.</w:t>
            </w:r>
            <w:r w:rsidRPr="00375D65">
              <w:tab/>
              <w:t>STRUKTURVERBESSERUNGEN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15</w:t>
            </w:r>
            <w:r w:rsidRPr="00375D65">
              <w:tab/>
              <w:t>Grundsatz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fördert Massnahmen zur Strukturverbesserung im Sinne des Bundesrechts, soweit der Bund eine finanzielle Leistung erbringt und hierfür eine kantonale Leistung voraussetzt.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Einzelbetriebliche Massnahmen werden vom Kanton unterstützt, wenn der Betrieb zur Bewirtschaftung ein angemessenes Arbeitsau</w:t>
            </w:r>
            <w:r w:rsidRPr="00375D65">
              <w:t>f</w:t>
            </w:r>
            <w:r w:rsidRPr="00375D65">
              <w:t>kommen nach den Vorgaben des Bundesrechts erfordert; bei Betri</w:t>
            </w:r>
            <w:r w:rsidRPr="00375D65">
              <w:t>e</w:t>
            </w:r>
            <w:r w:rsidRPr="00375D65">
              <w:t>ben der Milchwirtschaft sowie für die Starthilfe muss das Arbeitsau</w:t>
            </w:r>
            <w:r w:rsidRPr="00375D65">
              <w:t>f</w:t>
            </w:r>
            <w:r w:rsidRPr="00375D65">
              <w:t>kommen jedoch mindestens 1,5 Standardarbeitskräfte betragen.</w:t>
            </w:r>
            <w:r w:rsidRPr="00375D65">
              <w:rPr>
                <w:rStyle w:val="Endnotenzeichen"/>
              </w:rPr>
              <w:t>22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E11384">
            <w:pPr>
              <w:pStyle w:val="berschrift3"/>
              <w:numPr>
                <w:ilvl w:val="0"/>
                <w:numId w:val="0"/>
              </w:numPr>
              <w:ind w:firstLine="142"/>
            </w:pPr>
            <w:r w:rsidRPr="00461DE3">
              <w:rPr>
                <w:vertAlign w:val="subscript"/>
              </w:rPr>
              <w:t>2</w:t>
            </w:r>
            <w:r>
              <w:t xml:space="preserve"> Einzelbetriebliche Massnahmen werden vom Kanton unterstützt, wenn der Betrieb zur Bewirtschaftung ein angemessenes A</w:t>
            </w:r>
            <w:r>
              <w:t>r</w:t>
            </w:r>
            <w:r>
              <w:t>beitsaufkommen nach den Vorgaben des Bundesrechts erfordert; bei Betrieben der Milchwirtschaft muss das Arbeitsaufkommen j</w:t>
            </w:r>
            <w:r>
              <w:t>e</w:t>
            </w:r>
            <w:r>
              <w:t>doch mindestens 1.5 Standardarbeitskräfte betragen.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16</w:t>
            </w:r>
            <w:r w:rsidRPr="00375D65">
              <w:tab/>
              <w:t>Kantonale Leistung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Die Bemessung der kantonalen Leistung richtet sich nach den Bestimmungen des Bundes.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kann unter Berücksichtigung des öffentlichen Intere</w:t>
            </w:r>
            <w:r w:rsidRPr="00375D65">
              <w:t>s</w:t>
            </w:r>
            <w:r w:rsidRPr="00375D65">
              <w:t>ses an der Durchführung der Massnahme und der wirtschaftlichen Situation der Bauherrschaft ausnahmsweise eine höhere als vom Bund mindestens verlangte Leistung erbringen, sofern: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1.</w:t>
            </w:r>
            <w:r w:rsidRPr="00375D65">
              <w:tab/>
              <w:t>die Massnahme zur Erhaltung eines oder mehrerer gut strukt</w:t>
            </w:r>
            <w:r w:rsidRPr="00375D65">
              <w:t>u</w:t>
            </w:r>
            <w:r w:rsidRPr="00375D65">
              <w:t>rierter Land- oder Alpwirtschaftsbetriebe notwendig ist;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2.</w:t>
            </w:r>
            <w:r w:rsidRPr="00375D65">
              <w:tab/>
              <w:t>die Bauherrschaft durch die Massnahme ausserordentlich b</w:t>
            </w:r>
            <w:r w:rsidRPr="00375D65">
              <w:t>e</w:t>
            </w:r>
            <w:r w:rsidRPr="00375D65">
              <w:t>lastet wird;</w:t>
            </w:r>
            <w:r w:rsidRPr="00375D65">
              <w:tab/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ufzhlung1"/>
              <w:ind w:left="0" w:firstLine="0"/>
            </w:pPr>
            <w:r w:rsidRPr="00375D65">
              <w:t>3.</w:t>
            </w:r>
            <w:r w:rsidRPr="00375D65">
              <w:tab/>
              <w:t>sich die Bauherrschaft angemessen an den Kosten beteiligt.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Die kantonale Leistung beträgt höchstens 200 Prozent der Bu</w:t>
            </w:r>
            <w:r w:rsidRPr="00375D65">
              <w:t>n</w:t>
            </w:r>
            <w:r w:rsidRPr="00375D65">
              <w:t>desleistung.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Für Projekte, die nicht zur Ausführung gelangen, werden weder Beiträge noch Investitionskredite gewährt. Ausgenommen davon sind Planungen, die als selbstständige Projekte gelten.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t>17</w:t>
            </w:r>
            <w:r w:rsidRPr="00375D65">
              <w:tab/>
              <w:t>Mindestbeträge für Investitionskredite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461DE3">
            <w:pPr>
              <w:pStyle w:val="OFArtikel"/>
            </w:pPr>
            <w:r w:rsidRPr="00375D65">
              <w:t>17</w:t>
            </w:r>
            <w:r w:rsidRPr="00375D65">
              <w:tab/>
              <w:t>Mindestbeträge</w:t>
            </w:r>
          </w:p>
        </w:tc>
      </w:tr>
      <w:tr w:rsidR="00521953" w:rsidRPr="00375D65" w:rsidTr="00375D65">
        <w:tc>
          <w:tcPr>
            <w:tcW w:w="6345" w:type="dxa"/>
          </w:tcPr>
          <w:p w:rsidR="00E11384" w:rsidRDefault="00521953" w:rsidP="00886E5B">
            <w:pPr>
              <w:pStyle w:val="OFAbsatz"/>
            </w:pPr>
            <w:r w:rsidRPr="00375D65">
              <w:t>Der Regierungsrat kann Mindestbeträge festlegen, unter welchen keine Investitionskredite gewährt werden.</w:t>
            </w:r>
          </w:p>
          <w:p w:rsidR="00886E5B" w:rsidRPr="00375D65" w:rsidRDefault="00886E5B" w:rsidP="00886E5B">
            <w:pPr>
              <w:pStyle w:val="OFAbsatz"/>
            </w:pP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  <w:r>
              <w:t>Der Regierungsrat kann Mindestbeträge festlegen, unter welchen keine Investitionshilfen gewährt werden.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</w:pPr>
            <w:r w:rsidRPr="00375D65">
              <w:lastRenderedPageBreak/>
              <w:t>18</w:t>
            </w:r>
            <w:r w:rsidRPr="00375D65">
              <w:tab/>
              <w:t>Gemeinschaftliche Massnahmen</w:t>
            </w:r>
            <w:r w:rsidRPr="00375D65">
              <w:tab/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unterstützt Güterzusammenlegungen beziehungswe</w:t>
            </w:r>
            <w:r w:rsidRPr="00375D65">
              <w:t>i</w:t>
            </w:r>
            <w:r w:rsidRPr="00375D65">
              <w:t>se Güterbereinigungen zur Bildung wirtschaftlich tragfähiger Betri</w:t>
            </w:r>
            <w:r w:rsidRPr="00375D65">
              <w:t>e</w:t>
            </w:r>
            <w:r w:rsidRPr="00375D65">
              <w:t>be.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Kanton kann Beiträge an Vorabklärungen für Landumlegu</w:t>
            </w:r>
            <w:r w:rsidRPr="00375D65">
              <w:t>n</w:t>
            </w:r>
            <w:r w:rsidRPr="00375D65">
              <w:t>gen oder Pachtlandarrondierungen ausrichten.</w:t>
            </w:r>
            <w:r w:rsidRPr="00375D65">
              <w:rPr>
                <w:rStyle w:val="Endnotenzeichen"/>
              </w:rPr>
              <w:t>22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5F3C9D">
            <w:pPr>
              <w:pStyle w:val="berschrift3"/>
              <w:numPr>
                <w:ilvl w:val="0"/>
                <w:numId w:val="0"/>
              </w:numPr>
              <w:ind w:firstLine="142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  <w:rPr>
                <w:rStyle w:val="Endnotenzeichen"/>
              </w:rPr>
            </w:pPr>
            <w:r w:rsidRPr="00375D65">
              <w:t>Für Bodenverbesserungen gemäss Art. 703 ZGB bleiben die B</w:t>
            </w:r>
            <w:r w:rsidRPr="00375D65">
              <w:t>e</w:t>
            </w:r>
            <w:r w:rsidRPr="00375D65">
              <w:t>stimmungen des Gesetzes vom 30. April 1911 betreffend die Einfü</w:t>
            </w:r>
            <w:r w:rsidRPr="00375D65">
              <w:t>h</w:t>
            </w:r>
            <w:r w:rsidRPr="00375D65">
              <w:t>rung des Schweizerischen Zivilgesetzbuches (Einführungsgesetz zum Zivilgesetzbuch)</w:t>
            </w:r>
            <w:r w:rsidRPr="00375D65">
              <w:rPr>
                <w:rStyle w:val="Endnotenzeichen"/>
              </w:rPr>
              <w:t>5</w:t>
            </w:r>
            <w:r w:rsidRPr="00375D65">
              <w:t xml:space="preserve"> vorbehalten.</w:t>
            </w:r>
            <w:r w:rsidRPr="00375D65">
              <w:rPr>
                <w:rStyle w:val="Endnotenzeichen"/>
              </w:rPr>
              <w:t>22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E11384">
            <w:pPr>
              <w:pStyle w:val="berschrift3"/>
              <w:numPr>
                <w:ilvl w:val="0"/>
                <w:numId w:val="0"/>
              </w:numPr>
              <w:ind w:firstLine="142"/>
            </w:pPr>
            <w:r w:rsidRPr="00461DE3">
              <w:rPr>
                <w:vertAlign w:val="subscript"/>
              </w:rPr>
              <w:t>3</w:t>
            </w:r>
            <w:r>
              <w:t xml:space="preserve"> Für Bodenverbesserungen gemäss Art. 703 ZGB</w:t>
            </w:r>
            <w:r>
              <w:rPr>
                <w:rStyle w:val="Endnotenzeichen"/>
              </w:rPr>
              <w:t>4</w:t>
            </w:r>
            <w:r>
              <w:t xml:space="preserve"> bleiben die Bestimmungen des Gesetzes über die Flurgenossenschaften (Flu</w:t>
            </w:r>
            <w:r>
              <w:t>r</w:t>
            </w:r>
            <w:r>
              <w:t>genossenschaftsgesetz, FlurG)</w:t>
            </w:r>
            <w:r>
              <w:rPr>
                <w:rStyle w:val="Endnotenzeichen"/>
              </w:rPr>
              <w:t>5</w:t>
            </w:r>
            <w:r>
              <w:t xml:space="preserve"> vorbehalten.</w:t>
            </w: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berschrift3"/>
            </w:pPr>
            <w:r w:rsidRPr="00375D65">
              <w:t>Der Regierungsrat regelt das Verfahren für angeordnete und ve</w:t>
            </w:r>
            <w:r w:rsidRPr="00375D65">
              <w:t>r</w:t>
            </w:r>
            <w:r w:rsidRPr="00375D65">
              <w:t>tragliche Landumlegungen.</w:t>
            </w:r>
            <w:r w:rsidRPr="00375D65">
              <w:rPr>
                <w:rStyle w:val="Endnotenzeichen"/>
              </w:rPr>
              <w:t>22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Artikel"/>
              <w:spacing w:before="180"/>
            </w:pPr>
            <w:r w:rsidRPr="00375D65">
              <w:t>19</w:t>
            </w:r>
            <w:r w:rsidRPr="00375D65">
              <w:tab/>
              <w:t>...</w:t>
            </w:r>
            <w:r w:rsidRPr="00375D65">
              <w:rPr>
                <w:rStyle w:val="Endnotenzeichen"/>
                <w:b/>
              </w:rPr>
              <w:t>22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521953" w:rsidRPr="00375D65" w:rsidTr="00375D65">
        <w:tc>
          <w:tcPr>
            <w:tcW w:w="6345" w:type="dxa"/>
          </w:tcPr>
          <w:p w:rsidR="00521953" w:rsidRPr="00375D65" w:rsidRDefault="00521953" w:rsidP="00375D65">
            <w:pPr>
              <w:pStyle w:val="OFGliederung1"/>
              <w:spacing w:before="320"/>
              <w:ind w:left="0" w:firstLine="0"/>
              <w:rPr>
                <w:rStyle w:val="Endnotenzeichen"/>
              </w:rPr>
            </w:pPr>
            <w:r w:rsidRPr="00375D65">
              <w:t>V.</w:t>
            </w:r>
            <w:r w:rsidRPr="00375D65">
              <w:tab/>
              <w:t>Wohnbausanierung</w:t>
            </w:r>
            <w:r w:rsidRPr="00375D65">
              <w:rPr>
                <w:rStyle w:val="Endnotenzeichen"/>
                <w:b/>
                <w:caps w:val="0"/>
              </w:rPr>
              <w:t>22</w:t>
            </w:r>
          </w:p>
        </w:tc>
        <w:tc>
          <w:tcPr>
            <w:tcW w:w="1134" w:type="dxa"/>
          </w:tcPr>
          <w:p w:rsidR="00521953" w:rsidRPr="00375D65" w:rsidRDefault="00521953" w:rsidP="00375D65">
            <w:pPr>
              <w:pStyle w:val="OFAbsatz"/>
            </w:pPr>
          </w:p>
        </w:tc>
        <w:tc>
          <w:tcPr>
            <w:tcW w:w="6237" w:type="dxa"/>
          </w:tcPr>
          <w:p w:rsidR="00521953" w:rsidRPr="00375D65" w:rsidRDefault="00521953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20</w:t>
            </w:r>
            <w:r w:rsidRPr="00375D65">
              <w:tab/>
              <w:t>Grundsatz</w:t>
            </w:r>
            <w:r w:rsidRPr="00375D65">
              <w:rPr>
                <w:rStyle w:val="Endnotenzeichen"/>
                <w:b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EB260B" w:rsidRDefault="001D6555" w:rsidP="001F6D96">
            <w:pPr>
              <w:pStyle w:val="OFArtikel"/>
              <w:numPr>
                <w:ilvl w:val="0"/>
                <w:numId w:val="0"/>
              </w:numPr>
              <w:rPr>
                <w:b w:val="0"/>
                <w:i/>
              </w:rPr>
            </w:pPr>
            <w:r w:rsidRPr="00EB260B">
              <w:rPr>
                <w:b w:val="0"/>
                <w:i/>
              </w:rPr>
              <w:t>Aufgehoben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Der Kanton unterstützt die Sanierung oder Erstellung von B</w:t>
            </w:r>
            <w:r w:rsidRPr="00375D65">
              <w:t>e</w:t>
            </w:r>
            <w:r w:rsidRPr="00375D65">
              <w:t>triebsleiterwohnungen auf Landwirtschaftsbetrieben in der Berg- und Hügelzone mit Beiträgen im Rahmen der bewilligten Kredite.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Beiträge werden ausgerichtet, wenn auf dem Betrieb ein Arbeit</w:t>
            </w:r>
            <w:r w:rsidRPr="00375D65">
              <w:t>s</w:t>
            </w:r>
            <w:r w:rsidRPr="00375D65">
              <w:t>bedarf für mindestens eine Standardarbeitskraft besteht.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Massgebend für die Zuweisung zur Berg- und Hügelzone ist der Standort des Wohnhauses.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Pächterinnen und Pächter können Beiträge erhalten, wenn ein selbstständiges und dauerndes Baurecht auf die Dauer von minde</w:t>
            </w:r>
            <w:r w:rsidRPr="00375D65">
              <w:t>s</w:t>
            </w:r>
            <w:r w:rsidRPr="00375D65">
              <w:t>tens 30 Jahren errichtet wird und ein landwirtschaftlicher Pachtve</w:t>
            </w:r>
            <w:r w:rsidRPr="00375D65">
              <w:t>r</w:t>
            </w:r>
            <w:r w:rsidRPr="00375D65">
              <w:t>trag für den übrigen Betrieb mit gleicher Dauer abgeschlossen wird.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20a</w:t>
            </w:r>
            <w:r w:rsidRPr="00375D65">
              <w:tab/>
              <w:t>Beitragsberechtigte Objekte</w:t>
            </w:r>
            <w:r w:rsidRPr="00375D65">
              <w:rPr>
                <w:rStyle w:val="Endnotenzeichen"/>
                <w:b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EB260B" w:rsidRDefault="001D6555" w:rsidP="001F6D96">
            <w:pPr>
              <w:pStyle w:val="OFArtikel"/>
              <w:numPr>
                <w:ilvl w:val="0"/>
                <w:numId w:val="0"/>
              </w:numPr>
              <w:rPr>
                <w:b w:val="0"/>
                <w:i/>
              </w:rPr>
            </w:pPr>
            <w:r w:rsidRPr="00EB260B">
              <w:rPr>
                <w:b w:val="0"/>
                <w:i/>
              </w:rPr>
              <w:t>Aufgehoben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Beitragsberechtigt ist jene Wohneinheit, welche von der Betrieb</w:t>
            </w:r>
            <w:r w:rsidRPr="00375D65">
              <w:t>s</w:t>
            </w:r>
            <w:r w:rsidRPr="00375D65">
              <w:t>leitung bewohnt wird.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Bei Häusern mit mehreren Wohneinheiten werden die Kosten für die gemeinsamen Einrichtungen anteilsmässig berücksichtigt.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Es können Beiträge ausgerichtet werden für Sanierungen, U</w:t>
            </w:r>
            <w:r w:rsidRPr="00375D65">
              <w:t>m</w:t>
            </w:r>
            <w:r w:rsidRPr="00375D65">
              <w:t xml:space="preserve">bauten und Neubauten. 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lastRenderedPageBreak/>
              <w:t>Keine Beiträge werden entrichtet, wenn: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1.</w:t>
            </w:r>
            <w:r w:rsidRPr="00375D65">
              <w:tab/>
              <w:t>die Baukosten für die Betriebsleiterwohnung weniger als 50'000 Franken betragen;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704E6A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2.</w:t>
            </w:r>
            <w:r w:rsidRPr="00375D65">
              <w:tab/>
            </w:r>
            <w:r w:rsidRPr="00375D65">
              <w:rPr>
                <w:spacing w:val="-2"/>
              </w:rPr>
              <w:t>die Baukosten über denjenigen von vergleichbaren Objekten liegen.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20b</w:t>
            </w:r>
            <w:r w:rsidRPr="00375D65">
              <w:tab/>
              <w:t>Beitragsbemessung</w:t>
            </w:r>
            <w:r w:rsidRPr="00375D65">
              <w:rPr>
                <w:rStyle w:val="Endnotenzeichen"/>
                <w:b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EB260B" w:rsidRDefault="001D6555" w:rsidP="001F6D96">
            <w:pPr>
              <w:pStyle w:val="OFArtikel"/>
              <w:numPr>
                <w:ilvl w:val="0"/>
                <w:numId w:val="0"/>
              </w:numPr>
              <w:rPr>
                <w:b w:val="0"/>
                <w:i/>
              </w:rPr>
            </w:pPr>
            <w:r w:rsidRPr="00EB260B">
              <w:rPr>
                <w:b w:val="0"/>
                <w:i/>
              </w:rPr>
              <w:t>Aufgehoben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Der pauschale Beitrag bei Neubauten beträgt: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1.</w:t>
            </w:r>
            <w:r w:rsidRPr="00375D65">
              <w:tab/>
              <w:t>Fr. 100'000.- in der Hügelzone und in den Bergzonen I und II;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704E6A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2.</w:t>
            </w:r>
            <w:r w:rsidRPr="00375D65">
              <w:tab/>
              <w:t>Fr. 120'000.- in den Bergzonen III und IV.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704E6A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Bei Umbauten und Sanierungen ist ein Abzug im Verhältnis zu den Kosten eines Neubaus vorzunehmen.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BE2D0B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Die Pauschale beträgt höchstens 50 Prozent der beitragsberec</w:t>
            </w:r>
            <w:r w:rsidRPr="00375D65">
              <w:t>h</w:t>
            </w:r>
            <w:r w:rsidRPr="00375D65">
              <w:t>tigten Kosten.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BE2D0B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Die Beiträge, die in den letzten 20 Jahren an die Wohneinheit g</w:t>
            </w:r>
            <w:r w:rsidRPr="00375D65">
              <w:t>e</w:t>
            </w:r>
            <w:r w:rsidRPr="00375D65">
              <w:t xml:space="preserve">leistet wurden, sind anteilsmässig anzurechnen. 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BE2D0B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Eine Kombination der Beiträge mit Investitionskrediten gemäss dem Landwirtschaftsgesetz</w:t>
            </w:r>
            <w:r w:rsidRPr="00375D65">
              <w:rPr>
                <w:rStyle w:val="Endnotenzeichen"/>
              </w:rPr>
              <w:t>2</w:t>
            </w:r>
            <w:r w:rsidRPr="00375D65">
              <w:t xml:space="preserve"> ist möglich. 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BE2D0B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BE2D0B">
            <w:pPr>
              <w:pStyle w:val="berschrift3"/>
              <w:numPr>
                <w:ilvl w:val="0"/>
                <w:numId w:val="0"/>
              </w:numPr>
              <w:ind w:left="142"/>
            </w:pP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BE2D0B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  <w:rPr>
                <w:b w:val="0"/>
              </w:rPr>
            </w:pPr>
            <w:r w:rsidRPr="00375D65">
              <w:t>20c</w:t>
            </w:r>
            <w:r w:rsidRPr="00375D65">
              <w:tab/>
              <w:t>Ergänzende Bestimmungen</w:t>
            </w:r>
            <w:r w:rsidRPr="00375D65">
              <w:rPr>
                <w:rStyle w:val="Endnotenzeichen"/>
                <w:b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EB260B" w:rsidRDefault="001D6555" w:rsidP="001F6D96">
            <w:pPr>
              <w:pStyle w:val="OFArtikel"/>
              <w:numPr>
                <w:ilvl w:val="0"/>
                <w:numId w:val="0"/>
              </w:numPr>
              <w:rPr>
                <w:b w:val="0"/>
                <w:i/>
              </w:rPr>
            </w:pPr>
            <w:r w:rsidRPr="00EB260B">
              <w:rPr>
                <w:b w:val="0"/>
                <w:i/>
              </w:rPr>
              <w:t>Aufgehoben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bsatz"/>
            </w:pPr>
            <w:r w:rsidRPr="00375D65">
              <w:t xml:space="preserve">Ergänzend sind folgende Bestimmungen sinngemäss anwendbar: 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1.</w:t>
            </w:r>
            <w:r w:rsidRPr="00375D65">
              <w:tab/>
              <w:t>persönliche Voraussetzungen: Art. 89 LwG</w:t>
            </w:r>
            <w:r w:rsidRPr="00375D65">
              <w:rPr>
                <w:rStyle w:val="Endnotenzeichen"/>
              </w:rPr>
              <w:t>2</w:t>
            </w:r>
            <w:r w:rsidRPr="00375D65">
              <w:t>, Art. 7 und 8 der Verordnung über die Strukturverbesserungen in der Landwirtschaft (Strukturverbesserungsverordnung, SVV)</w:t>
            </w:r>
            <w:r w:rsidRPr="00375D65">
              <w:rPr>
                <w:rStyle w:val="Endnotenzeichen"/>
              </w:rPr>
              <w:t>21</w:t>
            </w:r>
            <w:r w:rsidRPr="00375D65">
              <w:t>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8D13DA">
            <w:pPr>
              <w:pStyle w:val="OFAufzhlung1"/>
              <w:ind w:left="0" w:firstLine="0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2.</w:t>
            </w:r>
            <w:r w:rsidRPr="00375D65">
              <w:tab/>
              <w:t>Baubeginn: Art. 31 Abs. 1 und 2 SVV;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6E4469">
            <w:pPr>
              <w:pStyle w:val="OFAufzhlung1"/>
              <w:ind w:left="0" w:firstLine="0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3.</w:t>
            </w:r>
            <w:r w:rsidRPr="00375D65">
              <w:tab/>
              <w:t xml:space="preserve">Unterhalt: Art. 103 Abs. 2 LwG; 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4.</w:t>
            </w:r>
            <w:r w:rsidRPr="00375D65">
              <w:tab/>
              <w:t>Zweckentfremdung: Art. 102 LwG;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5.</w:t>
            </w:r>
            <w:r w:rsidRPr="00375D65">
              <w:tab/>
              <w:t>Handänderung mit Gewinn: Art. 91 LwG;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6.</w:t>
            </w:r>
            <w:r w:rsidRPr="00375D65">
              <w:tab/>
              <w:t>Grundbuchanmerkung: Art. 104 LwG;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6E4469">
        <w:tc>
          <w:tcPr>
            <w:tcW w:w="6345" w:type="dxa"/>
          </w:tcPr>
          <w:p w:rsidR="001D6555" w:rsidRPr="00375D65" w:rsidRDefault="001D6555" w:rsidP="006E4469">
            <w:pPr>
              <w:pStyle w:val="OFAufzhlung1"/>
              <w:ind w:left="0" w:firstLine="0"/>
            </w:pPr>
            <w:r w:rsidRPr="00375D65">
              <w:t>7.</w:t>
            </w:r>
            <w:r w:rsidRPr="00375D65">
              <w:tab/>
              <w:t>Nachträgliche Projektänderung: Art. 32 Abs. 2 SVV.</w:t>
            </w:r>
          </w:p>
        </w:tc>
        <w:tc>
          <w:tcPr>
            <w:tcW w:w="1134" w:type="dxa"/>
          </w:tcPr>
          <w:p w:rsidR="001D6555" w:rsidRPr="00375D65" w:rsidRDefault="001D6555" w:rsidP="006E4469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6E4469">
            <w:pPr>
              <w:pStyle w:val="OFAufzhlung1"/>
              <w:ind w:left="0" w:firstLine="0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8D13DA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  <w:rPr>
                <w:b w:val="0"/>
              </w:rPr>
            </w:pPr>
            <w:r w:rsidRPr="00375D65">
              <w:t>20d</w:t>
            </w:r>
            <w:r w:rsidRPr="00375D65">
              <w:tab/>
              <w:t>Meldepflicht bei Handänderungen</w:t>
            </w:r>
            <w:r w:rsidRPr="00375D65">
              <w:rPr>
                <w:rStyle w:val="Endnotenzeichen"/>
                <w:b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EB260B" w:rsidRDefault="001D6555" w:rsidP="001F6D96">
            <w:pPr>
              <w:pStyle w:val="OFArtikel"/>
              <w:numPr>
                <w:ilvl w:val="0"/>
                <w:numId w:val="0"/>
              </w:numPr>
              <w:rPr>
                <w:b w:val="0"/>
                <w:i/>
              </w:rPr>
            </w:pPr>
            <w:r w:rsidRPr="00EB260B">
              <w:rPr>
                <w:b w:val="0"/>
                <w:i/>
              </w:rPr>
              <w:t>Aufgehoben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bsatz"/>
            </w:pPr>
            <w:r w:rsidRPr="00375D65">
              <w:t xml:space="preserve">Handänderungen an der Wohneinheit, die innerhalb von 20 Jahren </w:t>
            </w:r>
            <w:r w:rsidRPr="00375D65">
              <w:lastRenderedPageBreak/>
              <w:t>nach der Auszahlung der Beiträge erfolgen, sind vom Grundbuchamt der Direktion zu melden.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lastRenderedPageBreak/>
              <w:t>20e</w:t>
            </w:r>
            <w:r w:rsidRPr="00375D65">
              <w:tab/>
              <w:t>Gesetzliches Grundpfandrecht</w:t>
            </w:r>
            <w:r w:rsidRPr="00375D65">
              <w:rPr>
                <w:rStyle w:val="Endnotenzeichen"/>
                <w:b/>
              </w:rPr>
              <w:t>26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EB260B" w:rsidRDefault="001D6555" w:rsidP="001F6D96">
            <w:pPr>
              <w:pStyle w:val="OFArtikel"/>
              <w:numPr>
                <w:ilvl w:val="0"/>
                <w:numId w:val="0"/>
              </w:numPr>
              <w:rPr>
                <w:b w:val="0"/>
                <w:i/>
              </w:rPr>
            </w:pPr>
            <w:r w:rsidRPr="00EB260B">
              <w:rPr>
                <w:b w:val="0"/>
                <w:i/>
              </w:rPr>
              <w:t>Aufgehoben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bsatz"/>
            </w:pPr>
            <w:r w:rsidRPr="00375D65">
              <w:t>Der Kanton hat für seine Rückerstattungsansprüche ein gesetzl</w:t>
            </w:r>
            <w:r w:rsidRPr="00375D65">
              <w:t>i</w:t>
            </w:r>
            <w:r w:rsidRPr="00375D65">
              <w:t>ches, allen eingetragenen Belastungen vorgehendes Grundpfan</w:t>
            </w:r>
            <w:r w:rsidRPr="00375D65">
              <w:t>d</w:t>
            </w:r>
            <w:r w:rsidRPr="00375D65">
              <w:t>recht ohne Eintragung im Grundbuch im Sinne von Art. 117 des Ei</w:t>
            </w:r>
            <w:r w:rsidRPr="00375D65">
              <w:t>n</w:t>
            </w:r>
            <w:r w:rsidRPr="00375D65">
              <w:t>führungsgesetzes zum Zivilgesetzbuch</w:t>
            </w:r>
            <w:r w:rsidRPr="00375D65">
              <w:rPr>
                <w:rStyle w:val="Endnotenzeichen"/>
              </w:rPr>
              <w:t>7</w:t>
            </w:r>
            <w:r w:rsidRPr="00375D65">
              <w:t>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Gliederung1"/>
              <w:ind w:left="0" w:firstLine="0"/>
              <w:rPr>
                <w:rStyle w:val="Endnotenzeichen"/>
              </w:rPr>
            </w:pPr>
            <w:r w:rsidRPr="00375D65">
              <w:t>Vi.</w:t>
            </w:r>
            <w:r w:rsidRPr="00375D65">
              <w:tab/>
              <w:t>weiterbildung und beratung</w:t>
            </w:r>
            <w:r w:rsidRPr="00375D65">
              <w:rPr>
                <w:rStyle w:val="Endnotenzeichen"/>
                <w:b/>
                <w:caps w:val="0"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  <w:rPr>
                <w:b w:val="0"/>
              </w:rPr>
            </w:pPr>
            <w:r w:rsidRPr="00375D65">
              <w:t>21</w:t>
            </w:r>
            <w:r w:rsidRPr="00375D65">
              <w:tab/>
              <w:t>Weiterbildung, Beratung</w:t>
            </w:r>
            <w:r w:rsidRPr="00375D65">
              <w:rPr>
                <w:rStyle w:val="Endnotenzeichen"/>
                <w:b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Der Kanton führt einen Beratungsdienst.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412DF7">
            <w:pPr>
              <w:pStyle w:val="berschrift3"/>
            </w:pPr>
            <w:r w:rsidRPr="00375D65">
              <w:t>Dieser sorgt für die Beratung, die allgemeine Weiterbildung in landwirtschaftlichen Fragen und die Information: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1.</w:t>
            </w:r>
            <w:r w:rsidRPr="00375D65">
              <w:tab/>
              <w:t>zur Förderung der betriebswirtschaftlichen, technischen, ökol</w:t>
            </w:r>
            <w:r w:rsidRPr="00375D65">
              <w:t>o</w:t>
            </w:r>
            <w:r w:rsidRPr="00375D65">
              <w:t>gischen und sozialen Kenntnisse und Fähigkeiten in der Land- und Alpwirtschaft und der bäuerlichen Hauswirtschaft;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2.</w:t>
            </w:r>
            <w:r w:rsidRPr="00375D65">
              <w:tab/>
              <w:t>zur Umsetzung der Massnahmen des Bundes und des Kantons.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Gliederung1"/>
              <w:ind w:left="0" w:firstLine="0"/>
              <w:rPr>
                <w:rStyle w:val="Endnotenzeichen"/>
              </w:rPr>
            </w:pPr>
            <w:r w:rsidRPr="00375D65">
              <w:t>VII.</w:t>
            </w:r>
            <w:r w:rsidRPr="00375D65">
              <w:tab/>
              <w:t>FINANZIELLE BESTIMMUNGEN</w:t>
            </w:r>
            <w:r w:rsidRPr="00375D65">
              <w:rPr>
                <w:rStyle w:val="Endnotenzeichen"/>
                <w:b/>
                <w:caps w:val="0"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22</w:t>
            </w:r>
            <w:r w:rsidRPr="00375D65">
              <w:tab/>
              <w:t>Bereitstellung der finanziellen Mittel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Der Landrat beschliesst über die Kredite, die für die einzelnen Massnahmen nach diesem Gesetz zur Verfügung gestellt werden; er ist dabei nicht an die verfassungsmässigen Finanzkompetenzen gebunden.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Der Landrat kann für die wichtigsten Aufgabenbereiche gestützt auf einen Bericht des Regierungsrates Rahmenkredite beschliessen. Diese sind in der Regel für eine Periode von vier Jahren festzul</w:t>
            </w:r>
            <w:r w:rsidRPr="00375D65">
              <w:t>e</w:t>
            </w:r>
            <w:r w:rsidRPr="00375D65">
              <w:t>gen.</w:t>
            </w:r>
            <w:r w:rsidRPr="00375D65">
              <w:rPr>
                <w:rStyle w:val="Endnotenzeichen"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</w:tbl>
    <w:p w:rsidR="005C3BE4" w:rsidRDefault="005C3BE4">
      <w:r>
        <w:rPr>
          <w:b/>
        </w:rPr>
        <w:br w:type="page"/>
      </w:r>
    </w:p>
    <w:tbl>
      <w:tblPr>
        <w:tblStyle w:val="Tabellengitternetz"/>
        <w:tblW w:w="0" w:type="auto"/>
        <w:tblLook w:val="04A0"/>
      </w:tblPr>
      <w:tblGrid>
        <w:gridCol w:w="6345"/>
        <w:gridCol w:w="1134"/>
        <w:gridCol w:w="6237"/>
      </w:tblGrid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OFArtikel"/>
            </w:pPr>
            <w:r w:rsidRPr="00375D65">
              <w:lastRenderedPageBreak/>
              <w:t>22a</w:t>
            </w:r>
            <w:r w:rsidRPr="00375D65">
              <w:tab/>
              <w:t>Gebühren</w:t>
            </w:r>
            <w:r w:rsidRPr="00375D65">
              <w:rPr>
                <w:rStyle w:val="Endnotenzeichen"/>
                <w:b/>
              </w:rPr>
              <w:t>23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E11384">
            <w:pPr>
              <w:pStyle w:val="OFArtikel"/>
            </w:pPr>
            <w:r w:rsidRPr="00375D65">
              <w:t>22a</w:t>
            </w:r>
            <w:r w:rsidRPr="00375D65">
              <w:tab/>
              <w:t>Gebühren</w:t>
            </w: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berschrift3"/>
            </w:pPr>
            <w:r w:rsidRPr="00375D65">
              <w:t>Für Verfügungen betreffend die Gewährung von Investitionskred</w:t>
            </w:r>
            <w:r w:rsidRPr="00375D65">
              <w:t>i</w:t>
            </w:r>
            <w:r w:rsidRPr="00375D65">
              <w:t>ten und Betriebshilfedarlehen sowie für die Durchführung der Direk</w:t>
            </w:r>
            <w:r w:rsidRPr="00375D65">
              <w:t>t</w:t>
            </w:r>
            <w:r w:rsidRPr="00375D65">
              <w:t>zahlungen werden Gebühren erhoben.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461DE3">
            <w:pPr>
              <w:pStyle w:val="berschrift3"/>
              <w:numPr>
                <w:ilvl w:val="0"/>
                <w:numId w:val="0"/>
              </w:numPr>
              <w:ind w:firstLine="142"/>
            </w:pPr>
            <w:r w:rsidRPr="00461DE3">
              <w:rPr>
                <w:vertAlign w:val="subscript"/>
              </w:rPr>
              <w:t>1</w:t>
            </w:r>
            <w:r>
              <w:t xml:space="preserve"> Für Verfügungen betreffend die Gewährung von Direktzahlungen werden Gebühren erhoben.</w:t>
            </w: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berschrift3"/>
              <w:rPr>
                <w:spacing w:val="-2"/>
              </w:rPr>
            </w:pPr>
            <w:r w:rsidRPr="00375D65">
              <w:rPr>
                <w:spacing w:val="-2"/>
              </w:rPr>
              <w:t>Die Gebühren werden nach der Gebührengesetzgebung</w:t>
            </w:r>
            <w:r w:rsidRPr="00375D65">
              <w:rPr>
                <w:rStyle w:val="Endnotenzeichen"/>
                <w:spacing w:val="-2"/>
              </w:rPr>
              <w:t>24</w:t>
            </w:r>
            <w:r w:rsidRPr="00375D65">
              <w:rPr>
                <w:spacing w:val="-2"/>
              </w:rPr>
              <w:t xml:space="preserve"> festg</w:t>
            </w:r>
            <w:r w:rsidRPr="00375D65">
              <w:rPr>
                <w:spacing w:val="-2"/>
              </w:rPr>
              <w:t>e</w:t>
            </w:r>
            <w:r w:rsidRPr="00375D65">
              <w:rPr>
                <w:spacing w:val="-2"/>
              </w:rPr>
              <w:t>setzt.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  <w:rPr>
                <w:spacing w:val="-2"/>
              </w:rPr>
            </w:pPr>
          </w:p>
        </w:tc>
        <w:tc>
          <w:tcPr>
            <w:tcW w:w="6237" w:type="dxa"/>
          </w:tcPr>
          <w:p w:rsidR="00BE2D0B" w:rsidRPr="00461DE3" w:rsidRDefault="00BE2D0B" w:rsidP="001D6555">
            <w:pPr>
              <w:pStyle w:val="berschrift3"/>
              <w:numPr>
                <w:ilvl w:val="0"/>
                <w:numId w:val="0"/>
              </w:numPr>
              <w:ind w:firstLine="142"/>
            </w:pPr>
            <w:r w:rsidRPr="00461DE3">
              <w:rPr>
                <w:vertAlign w:val="subscript"/>
              </w:rPr>
              <w:t>2</w:t>
            </w:r>
            <w:r>
              <w:t xml:space="preserve"> Die Erhebung richtet sich nach der Gebührengesetzgebung</w:t>
            </w:r>
            <w:r w:rsidR="001D6555">
              <w:rPr>
                <w:rStyle w:val="Endnotenzeichen"/>
              </w:rPr>
              <w:t>6</w:t>
            </w:r>
            <w:r>
              <w:t>.</w:t>
            </w: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OFArtikel"/>
            </w:pPr>
            <w:r w:rsidRPr="00375D65">
              <w:t>23</w:t>
            </w:r>
            <w:r w:rsidRPr="00375D65">
              <w:tab/>
              <w:t>Rückerstattung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OFAbsatz"/>
            </w:pPr>
            <w:r w:rsidRPr="00375D65">
              <w:t>Wer durch unwahre oder unvollständige Angaben oder auf andere Weise die unrechtmässige Ausrichtung von öffentlichen Mitteln e</w:t>
            </w:r>
            <w:r w:rsidRPr="00375D65">
              <w:t>r</w:t>
            </w:r>
            <w:r w:rsidRPr="00375D65">
              <w:t>wirkt hat oder wer verfügte Auflagen missachtet, muss den entspr</w:t>
            </w:r>
            <w:r w:rsidRPr="00375D65">
              <w:t>e</w:t>
            </w:r>
            <w:r w:rsidRPr="00375D65">
              <w:t>chenden Betrag zurückerstatten.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OFArtikel"/>
            </w:pPr>
            <w:r w:rsidRPr="00375D65">
              <w:t>24</w:t>
            </w:r>
            <w:r w:rsidRPr="00375D65">
              <w:tab/>
              <w:t>Einsichts- und Zutrittsrecht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OFAbsatz"/>
            </w:pPr>
            <w:r w:rsidRPr="00375D65">
              <w:t>Wer Leistungen nach diesem Gesetz beansprucht oder erhalten hat, hat den zuständigen Instanzen alle erforderlichen Unterlagen offen zu legen und Kontrollen auf dem Betrieb und im Feld zuzulassen.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OFGliederung1"/>
              <w:ind w:left="0" w:firstLine="0"/>
              <w:rPr>
                <w:rStyle w:val="Endnotenzeichen"/>
              </w:rPr>
            </w:pPr>
            <w:r w:rsidRPr="00375D65">
              <w:t>VIII.</w:t>
            </w:r>
            <w:r w:rsidRPr="00375D65">
              <w:tab/>
              <w:t>ORGANISATION</w:t>
            </w:r>
            <w:r w:rsidRPr="00375D65">
              <w:rPr>
                <w:rStyle w:val="Endnotenzeichen"/>
                <w:b/>
                <w:caps w:val="0"/>
              </w:rPr>
              <w:t>22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OFArtikel"/>
            </w:pPr>
            <w:r w:rsidRPr="00375D65">
              <w:t>25</w:t>
            </w:r>
            <w:r w:rsidRPr="00375D65">
              <w:tab/>
              <w:t>Regierungsrat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OFAbsatz"/>
            </w:pPr>
            <w:r w:rsidRPr="00375D65">
              <w:t>Der Regierungsrat übt die Oberaufsicht über den Vollzug aus und erfüllt die ihm übertragenen Aufgaben.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OFArtikel"/>
            </w:pPr>
            <w:r w:rsidRPr="00375D65">
              <w:t>26</w:t>
            </w:r>
            <w:r w:rsidRPr="00375D65">
              <w:tab/>
              <w:t>Direktion</w:t>
            </w:r>
            <w:r w:rsidRPr="00375D65">
              <w:rPr>
                <w:rStyle w:val="Endnotenzeichen"/>
                <w:b/>
              </w:rPr>
              <w:t>22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412DF7">
            <w:pPr>
              <w:pStyle w:val="berschrift3"/>
            </w:pPr>
            <w:r w:rsidRPr="00375D65">
              <w:t>Die Direktion übt die unmittelbare Aufsicht über den Vollzug der Landwirtschaftsgesetzgebung aus und vertritt den Kanton in den interkantonalen landwirtschaftlichen Institutionen.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berschrift3"/>
            </w:pPr>
            <w:r w:rsidRPr="00375D65">
              <w:t>Sie ist zuständig für: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OFAufzhlung1"/>
              <w:ind w:left="0" w:firstLine="0"/>
            </w:pPr>
            <w:r w:rsidRPr="00375D65">
              <w:t>1.</w:t>
            </w:r>
            <w:r w:rsidRPr="00375D65">
              <w:tab/>
              <w:t>die Gewährung von Betriebshilfe;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BE2D0B" w:rsidRPr="00375D65" w:rsidTr="00375D65">
        <w:tc>
          <w:tcPr>
            <w:tcW w:w="6345" w:type="dxa"/>
          </w:tcPr>
          <w:p w:rsidR="00BE2D0B" w:rsidRPr="00375D65" w:rsidRDefault="00BE2D0B" w:rsidP="00375D65">
            <w:pPr>
              <w:pStyle w:val="OFAufzhlung1"/>
              <w:ind w:left="0" w:firstLine="0"/>
            </w:pPr>
            <w:r w:rsidRPr="00375D65">
              <w:t>2.</w:t>
            </w:r>
            <w:r w:rsidRPr="00375D65">
              <w:tab/>
              <w:t>die Projektgenehmigung und die Zusicherung von Investition</w:t>
            </w:r>
            <w:r w:rsidRPr="00375D65">
              <w:t>s</w:t>
            </w:r>
            <w:r w:rsidRPr="00375D65">
              <w:t>hilfen, die Bewilligung von Ausnahmen vom Zweckentfremdungs- und Zerstückelungsverbot sowie für den Widerruf oder die Rückfo</w:t>
            </w:r>
            <w:r w:rsidRPr="00375D65">
              <w:t>r</w:t>
            </w:r>
            <w:r w:rsidRPr="00375D65">
              <w:t>derung von Investitionshilfen;</w:t>
            </w:r>
          </w:p>
        </w:tc>
        <w:tc>
          <w:tcPr>
            <w:tcW w:w="1134" w:type="dxa"/>
          </w:tcPr>
          <w:p w:rsidR="00BE2D0B" w:rsidRPr="00375D65" w:rsidRDefault="00BE2D0B" w:rsidP="00375D65">
            <w:pPr>
              <w:pStyle w:val="OFAbsatz"/>
            </w:pPr>
          </w:p>
        </w:tc>
        <w:tc>
          <w:tcPr>
            <w:tcW w:w="6237" w:type="dxa"/>
          </w:tcPr>
          <w:p w:rsidR="00BE2D0B" w:rsidRPr="00375D65" w:rsidRDefault="00BE2D0B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3.</w:t>
            </w:r>
            <w:r w:rsidRPr="00375D65">
              <w:tab/>
              <w:t>die Gewährung der Beiträge für die Wohnbausanierung;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EB260B" w:rsidRDefault="001D6555" w:rsidP="001F6D96">
            <w:pPr>
              <w:pStyle w:val="OFArtikel"/>
              <w:numPr>
                <w:ilvl w:val="0"/>
                <w:numId w:val="0"/>
              </w:numPr>
              <w:rPr>
                <w:b w:val="0"/>
                <w:i/>
              </w:rPr>
            </w:pPr>
            <w:r w:rsidRPr="00EB260B">
              <w:rPr>
                <w:b w:val="0"/>
                <w:i/>
              </w:rPr>
              <w:t>Aufgehoben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lastRenderedPageBreak/>
              <w:t>4.</w:t>
            </w:r>
            <w:r w:rsidRPr="00375D65">
              <w:tab/>
              <w:t>die weiteren ihr übertragenen Aufgaben.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27</w:t>
            </w:r>
            <w:r w:rsidRPr="00375D65">
              <w:tab/>
              <w:t>Landwirtschaftsamt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461DE3">
            <w:pPr>
              <w:pStyle w:val="OFArtikel"/>
            </w:pPr>
            <w:r w:rsidRPr="00375D65">
              <w:t>27</w:t>
            </w:r>
            <w:r w:rsidRPr="00375D65">
              <w:tab/>
            </w:r>
            <w:r>
              <w:t>Amt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Default="001D6555" w:rsidP="00375D65">
            <w:pPr>
              <w:pStyle w:val="OFAbsatz"/>
            </w:pPr>
            <w:r w:rsidRPr="00375D65">
              <w:t>Das Landwirtschaftsamt vollzieht alle dem Kanton gemäss der Landwirtschaftsgesetzgebung zufallenden Aufgaben, soweit diese nicht einer andern Instanz übertragen sind.</w:t>
            </w:r>
          </w:p>
          <w:p w:rsidR="001D6555" w:rsidRPr="00375D65" w:rsidRDefault="001D6555" w:rsidP="00375D65">
            <w:pPr>
              <w:pStyle w:val="OFAbsatz"/>
            </w:pP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461DE3">
            <w:pPr>
              <w:pStyle w:val="berschrift3"/>
              <w:numPr>
                <w:ilvl w:val="0"/>
                <w:numId w:val="0"/>
              </w:numPr>
            </w:pPr>
            <w:r>
              <w:t>Das Amt vollzieht alle dem Kanton gemäss der Landwirtschaftsg</w:t>
            </w:r>
            <w:r>
              <w:t>e</w:t>
            </w:r>
            <w:r>
              <w:t>setzgebung zufallenden Aufgaben, soweit diese nicht einer anderen Instanz übertragen sind.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28</w:t>
            </w:r>
            <w:r w:rsidRPr="00375D65">
              <w:tab/>
              <w:t>Gemeinden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Die Gemeinden unterstützen den Kanton bei der Durchführung agrarpolitischer Massnahmen.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Sie erfüllen die ihnen durch die Gesetzgebung übertragenen Au</w:t>
            </w:r>
            <w:r w:rsidRPr="00375D65">
              <w:t>f</w:t>
            </w:r>
            <w:r w:rsidRPr="00375D65">
              <w:t>gaben.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29</w:t>
            </w:r>
            <w:r w:rsidRPr="00375D65">
              <w:tab/>
              <w:t>Mitwirkung Dritter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Der Regierungsrat kann andere Kantone und Dritte zur Mitwirkung beim Vollzug dieses Gesetzes beiziehen oder ihnen Vollzugsaufg</w:t>
            </w:r>
            <w:r w:rsidRPr="00375D65">
              <w:t>a</w:t>
            </w:r>
            <w:r w:rsidRPr="00375D65">
              <w:t>ben übertragen.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Zu diesem Zweck kann er Vereinbarungen treffen und die damit verbundenen Ausgaben beschliessen.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Gliederung1"/>
              <w:ind w:left="0" w:firstLine="0"/>
              <w:rPr>
                <w:rStyle w:val="Endnotenzeichen"/>
              </w:rPr>
            </w:pPr>
            <w:r w:rsidRPr="00375D65">
              <w:t>IX.</w:t>
            </w:r>
            <w:r w:rsidRPr="00375D65">
              <w:tab/>
              <w:t>VOLLZUG, RECHTSSCHUTZ UND STRAFBESTIMMUNG</w:t>
            </w:r>
            <w:r w:rsidRPr="00375D65">
              <w:rPr>
                <w:rStyle w:val="Endnotenzeichen"/>
                <w:b/>
                <w:caps w:val="0"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30</w:t>
            </w:r>
            <w:r w:rsidRPr="00375D65">
              <w:tab/>
              <w:t>Vollzug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Der Regierungsrat erlässt die zum Vollzug dieses Gesetzes erfo</w:t>
            </w:r>
            <w:r w:rsidRPr="00375D65">
              <w:t>r</w:t>
            </w:r>
            <w:r w:rsidRPr="00375D65">
              <w:t>derlichen Bestimmungen.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Er regelt insbesondere die weiteren Voraussetzungen sowie die Verfahren für die kantonalen Massnahmen.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31</w:t>
            </w:r>
            <w:r w:rsidRPr="00375D65">
              <w:tab/>
              <w:t>Beschwerde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E11384">
            <w:pPr>
              <w:pStyle w:val="OFArtikel"/>
            </w:pPr>
            <w:r w:rsidRPr="00375D65">
              <w:t>31</w:t>
            </w:r>
            <w:r w:rsidRPr="00375D65">
              <w:tab/>
              <w:t>Beschwerde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Verfügungen des Landwirtschaftsamtes und Dritter können binnen 20 Tagen nach erfolgter Zustellung mit Beschwerde bei der zustä</w:t>
            </w:r>
            <w:r w:rsidRPr="00375D65">
              <w:t>n</w:t>
            </w:r>
            <w:r w:rsidRPr="00375D65">
              <w:t>digen Direktion angefochten werden.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461DE3">
            <w:pPr>
              <w:pStyle w:val="berschrift3"/>
              <w:numPr>
                <w:ilvl w:val="0"/>
                <w:numId w:val="0"/>
              </w:numPr>
              <w:ind w:firstLine="142"/>
            </w:pPr>
            <w:r w:rsidRPr="00461DE3">
              <w:rPr>
                <w:vertAlign w:val="subscript"/>
              </w:rPr>
              <w:t>1</w:t>
            </w:r>
            <w:r>
              <w:t xml:space="preserve"> Gegen </w:t>
            </w:r>
            <w:r w:rsidRPr="001B1B70">
              <w:t>V</w:t>
            </w:r>
            <w:r>
              <w:t>erfügungen kann binnen 20 Tagen nach erfolgter Z</w:t>
            </w:r>
            <w:r>
              <w:t>u</w:t>
            </w:r>
            <w:r>
              <w:t>stellung Beschwerde beim Regierungsrat erhoben werden.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Verfügungen der zuständigen Direktion können binnen 20 Tagen nach erfolgter Zustellung mit Beschwerde beim Regierungsrat ang</w:t>
            </w:r>
            <w:r w:rsidRPr="00375D65">
              <w:t>e</w:t>
            </w:r>
            <w:r w:rsidRPr="00375D65">
              <w:t>fochten werden.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461DE3">
            <w:pPr>
              <w:pStyle w:val="berschrift3"/>
              <w:numPr>
                <w:ilvl w:val="0"/>
                <w:numId w:val="0"/>
              </w:numPr>
              <w:ind w:firstLine="142"/>
            </w:pPr>
            <w:r w:rsidRPr="00461DE3">
              <w:rPr>
                <w:vertAlign w:val="subscript"/>
              </w:rPr>
              <w:t>2</w:t>
            </w:r>
            <w:r>
              <w:t xml:space="preserve"> Gegen Verfügungen und Entscheide des Regierungsrates kann binnen 20 Tagen nach erfolgter Zustellung Beschwerde beim Ve</w:t>
            </w:r>
            <w:r>
              <w:t>r</w:t>
            </w:r>
            <w:r>
              <w:t>waltungsgericht erhoben werden.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lastRenderedPageBreak/>
              <w:t>Entscheide der zuständigen Direktion sowie Verfügungen und Entscheide des Regierungsrates können binnen 20 Tagen nach erfolgter Zustellung mit Beschwerde beim Verwaltungsgericht ang</w:t>
            </w:r>
            <w:r w:rsidRPr="00375D65">
              <w:t>e</w:t>
            </w:r>
            <w:r w:rsidRPr="00375D65">
              <w:t>fochten werden.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32</w:t>
            </w:r>
            <w:r w:rsidRPr="00375D65">
              <w:tab/>
              <w:t>Strafbestimmung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bsatz"/>
            </w:pPr>
            <w:r w:rsidRPr="00375D65">
              <w:t>Widerhandlungen gegen Vorschriften dieses Gesetzes sowie darauf gestützte Erlasse und Verfügungen werden mit Busse</w:t>
            </w:r>
            <w:r w:rsidRPr="00375D65">
              <w:rPr>
                <w:rStyle w:val="Endnotenzeichen"/>
              </w:rPr>
              <w:t>20</w:t>
            </w:r>
            <w:r w:rsidRPr="00375D65">
              <w:t xml:space="preserve"> bestraft; vorbehalten bleiben die Strafbestimmungen der Bundesgesetzg</w:t>
            </w:r>
            <w:r w:rsidRPr="00375D65">
              <w:t>e</w:t>
            </w:r>
            <w:r w:rsidRPr="00375D65">
              <w:t>bung.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Gliederung1"/>
              <w:ind w:left="0" w:firstLine="0"/>
              <w:rPr>
                <w:rStyle w:val="Endnotenzeichen"/>
              </w:rPr>
            </w:pPr>
            <w:r w:rsidRPr="00375D65">
              <w:t>X.</w:t>
            </w:r>
            <w:r w:rsidRPr="00375D65">
              <w:tab/>
              <w:t>ÜBERGANGS- UND SCHLUSSBESTIMMUNGEN</w:t>
            </w:r>
            <w:r w:rsidRPr="00375D65">
              <w:rPr>
                <w:rStyle w:val="Endnotenzeichen"/>
                <w:b/>
                <w:caps w:val="0"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33</w:t>
            </w:r>
            <w:r w:rsidRPr="00375D65">
              <w:tab/>
              <w:t>Änderung bisherigen Rechts</w:t>
            </w:r>
            <w:r w:rsidRPr="00375D65">
              <w:br/>
              <w:t>1. EG zum Zivilgesetzbuch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bsatz"/>
            </w:pPr>
            <w:r w:rsidRPr="00375D65">
              <w:t>Art. 80 des Gesetzes vom 24. April 1988 über die Einführung des Schweizerischen Zivilgesetzbuches (Einführungsgesetz zum Zivilg</w:t>
            </w:r>
            <w:r w:rsidRPr="00375D65">
              <w:t>e</w:t>
            </w:r>
            <w:r w:rsidRPr="00375D65">
              <w:t>setzbuch)</w:t>
            </w:r>
            <w:r w:rsidRPr="00375D65">
              <w:rPr>
                <w:rStyle w:val="Endnotenzeichen"/>
              </w:rPr>
              <w:t>7</w:t>
            </w:r>
            <w:r w:rsidRPr="00375D65">
              <w:t xml:space="preserve"> wird aufgehoben.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34</w:t>
            </w:r>
            <w:r w:rsidRPr="00375D65">
              <w:tab/>
              <w:t>2. EG zum bäuerlichen Bodenrecht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bsatz"/>
            </w:pPr>
            <w:r w:rsidRPr="00375D65">
              <w:t>Das Einführungsgesetz vom 23. Oktober 1994 zum Bundesgesetz über das bäuerliche Bodenrecht</w:t>
            </w:r>
            <w:r w:rsidRPr="00375D65">
              <w:rPr>
                <w:rStyle w:val="Endnotenzeichen"/>
              </w:rPr>
              <w:t>8</w:t>
            </w:r>
            <w:r w:rsidRPr="00375D65">
              <w:t xml:space="preserve"> wird wie folgt geändert: ...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35</w:t>
            </w:r>
            <w:r w:rsidRPr="00375D65">
              <w:tab/>
              <w:t>3. Pachtverordnung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bsatz"/>
            </w:pPr>
            <w:r w:rsidRPr="00375D65">
              <w:t>Die Einführungsverordnung vom 24. Juni 1987 zum Bundesgesetz über die landwirtschaftliche Pacht (Pachtverordnung)</w:t>
            </w:r>
            <w:r w:rsidRPr="00375D65">
              <w:rPr>
                <w:rStyle w:val="Endnotenzeichen"/>
              </w:rPr>
              <w:t>9</w:t>
            </w:r>
            <w:r w:rsidRPr="00375D65">
              <w:t xml:space="preserve"> wird wie folgt geändert: ...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36</w:t>
            </w:r>
            <w:r w:rsidRPr="00375D65">
              <w:tab/>
              <w:t>4. Gesetz über die Viehversicherung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bsatz"/>
            </w:pPr>
            <w:r w:rsidRPr="00375D65">
              <w:t>Das Gesetz vom 28. April 1974 über die Viehversicherung</w:t>
            </w:r>
            <w:r w:rsidRPr="00375D65">
              <w:rPr>
                <w:rStyle w:val="Endnotenzeichen"/>
              </w:rPr>
              <w:t>10</w:t>
            </w:r>
            <w:r w:rsidRPr="00375D65">
              <w:t xml:space="preserve"> wird wie folgt geändert: ...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37</w:t>
            </w:r>
            <w:r w:rsidRPr="00375D65">
              <w:tab/>
              <w:t>Befristung kantonaler Massnahmen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Die kantonalen Massnahmen gemäss Art. 3 Abs. 1, Art. 3a, Art. 4 Abs. 2, Art. 6, 7, 10 Abs. 2 und 3, Art. 11 Abs. 2 und 3, Art. 13, 18 Abs. 2 und Art. 20 - 20e sind bis 31. Dezember 2015 befristet.</w:t>
            </w:r>
            <w:r w:rsidRPr="00375D65">
              <w:rPr>
                <w:rStyle w:val="Endnotenzeichen"/>
              </w:rPr>
              <w:t>22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1D6555">
            <w:pPr>
              <w:pStyle w:val="berschrift3"/>
              <w:numPr>
                <w:ilvl w:val="0"/>
                <w:numId w:val="0"/>
              </w:numPr>
              <w:ind w:firstLine="142"/>
            </w:pPr>
            <w:r w:rsidRPr="00461DE3">
              <w:rPr>
                <w:vertAlign w:val="subscript"/>
              </w:rPr>
              <w:t>1</w:t>
            </w:r>
            <w:r>
              <w:t xml:space="preserve"> Die kantonalen Massnahmen gemäss Art. 3 Abs. 1, Art. 3a, Art. 4, Art. 6, Art. 10 Abs. 2 und 3, Art. 11 Abs. 2 und 3, Art. 13 und Art. 18 Abs. 2 sind bis 31. Dezember 2023 befristet.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Die Massnahmen können durch Gesetz verlängert werden.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1F6D96">
        <w:tc>
          <w:tcPr>
            <w:tcW w:w="6345" w:type="dxa"/>
          </w:tcPr>
          <w:p w:rsidR="001D6555" w:rsidRPr="00375D65" w:rsidRDefault="001D6555" w:rsidP="001D6555">
            <w:pPr>
              <w:pStyle w:val="OFArtikel"/>
              <w:numPr>
                <w:ilvl w:val="0"/>
                <w:numId w:val="0"/>
              </w:numPr>
              <w:ind w:left="1134"/>
            </w:pPr>
          </w:p>
        </w:tc>
        <w:tc>
          <w:tcPr>
            <w:tcW w:w="1134" w:type="dxa"/>
          </w:tcPr>
          <w:p w:rsidR="001D6555" w:rsidRPr="00375D65" w:rsidRDefault="001D6555" w:rsidP="001F6D96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1D6555">
            <w:pPr>
              <w:pStyle w:val="OFArtikel"/>
            </w:pPr>
            <w:r w:rsidRPr="00375D65">
              <w:t>3</w:t>
            </w:r>
            <w:r>
              <w:t>7a</w:t>
            </w:r>
            <w:r w:rsidRPr="00375D65">
              <w:tab/>
            </w:r>
            <w:r>
              <w:t>Übergangsbestimmung zur Änderung vom…</w:t>
            </w:r>
            <w:r>
              <w:rPr>
                <w:rStyle w:val="Endnotenzeichen"/>
              </w:rPr>
              <w:t>1</w:t>
            </w:r>
          </w:p>
        </w:tc>
      </w:tr>
      <w:tr w:rsidR="001D6555" w:rsidRPr="00375D65" w:rsidTr="001F6D96">
        <w:tc>
          <w:tcPr>
            <w:tcW w:w="6345" w:type="dxa"/>
          </w:tcPr>
          <w:p w:rsidR="001D6555" w:rsidRPr="00375D65" w:rsidRDefault="001D6555" w:rsidP="001F6D96">
            <w:pPr>
              <w:pStyle w:val="OFAbsatz"/>
            </w:pPr>
          </w:p>
        </w:tc>
        <w:tc>
          <w:tcPr>
            <w:tcW w:w="1134" w:type="dxa"/>
          </w:tcPr>
          <w:p w:rsidR="001D6555" w:rsidRPr="00375D65" w:rsidRDefault="001D6555" w:rsidP="001F6D96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1F6D96">
            <w:pPr>
              <w:pStyle w:val="OFAbsatz"/>
            </w:pPr>
            <w:r>
              <w:t>Das bisherige Recht bleibt anwendbar auf vor Inkrafttreten der Ä</w:t>
            </w:r>
            <w:r>
              <w:t>n</w:t>
            </w:r>
            <w:r>
              <w:t>derung vom …</w:t>
            </w:r>
            <w:r>
              <w:rPr>
                <w:rStyle w:val="Endnotenzeichen"/>
              </w:rPr>
              <w:t>1</w:t>
            </w:r>
            <w:r>
              <w:t xml:space="preserve"> geleistete und zugesicherte Unterstützungen für die Sanierung oder Erstellung von Betriebsleiterwohnungen.</w:t>
            </w: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38</w:t>
            </w:r>
            <w:r w:rsidRPr="00375D65">
              <w:tab/>
              <w:t>Aufhebung bisherigen Rechts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bsatz"/>
            </w:pPr>
            <w:r w:rsidRPr="00375D65">
              <w:t>Folgende Erlasse werden aufgehoben: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1.</w:t>
            </w:r>
            <w:r w:rsidRPr="00375D65">
              <w:tab/>
              <w:t>Einführungsgesetz vom 25. April 1976 zur Bundesgesetzgebung über die Förderung der Landwirtschaft und die Erhaltung des Ba</w:t>
            </w:r>
            <w:r w:rsidRPr="00375D65">
              <w:t>u</w:t>
            </w:r>
            <w:r w:rsidRPr="00375D65">
              <w:t>ernstandes (Kantonales Landwirtschaftsgesetz)</w:t>
            </w:r>
            <w:r w:rsidRPr="00375D65">
              <w:rPr>
                <w:rStyle w:val="Endnotenzeichen"/>
              </w:rPr>
              <w:t>11</w:t>
            </w:r>
            <w:r w:rsidRPr="00375D65">
              <w:t>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2.</w:t>
            </w:r>
            <w:r w:rsidRPr="00375D65">
              <w:tab/>
              <w:t>Vollziehungsverordnung vom 23. November 1994 zum Einfü</w:t>
            </w:r>
            <w:r w:rsidRPr="00375D65">
              <w:t>h</w:t>
            </w:r>
            <w:r w:rsidRPr="00375D65">
              <w:t>rungsgesetz zur Bundesgesetzgebung über die Förderung und E</w:t>
            </w:r>
            <w:r w:rsidRPr="00375D65">
              <w:t>r</w:t>
            </w:r>
            <w:r w:rsidRPr="00375D65">
              <w:t>haltung der Landwirtschaft und die Erhaltung des Bauernstandes (Landwirtschaftsverordnung)</w:t>
            </w:r>
            <w:r w:rsidRPr="00375D65">
              <w:rPr>
                <w:rStyle w:val="Endnotenzeichen"/>
              </w:rPr>
              <w:t>12</w:t>
            </w:r>
            <w:r w:rsidRPr="00375D65">
              <w:t>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3.</w:t>
            </w:r>
            <w:r w:rsidRPr="00375D65">
              <w:tab/>
              <w:t>Einführungsverordnung vom 14. Oktober 1983 zur Bundesg</w:t>
            </w:r>
            <w:r w:rsidRPr="00375D65">
              <w:t>e</w:t>
            </w:r>
            <w:r w:rsidRPr="00375D65">
              <w:t>setzgebung über Bewirtschaftungsbeiträge an die Landwirtschaft mit erschwerten Produktionsbedingungen</w:t>
            </w:r>
            <w:r w:rsidRPr="00375D65">
              <w:rPr>
                <w:rStyle w:val="Endnotenzeichen"/>
              </w:rPr>
              <w:t>13</w:t>
            </w:r>
            <w:r w:rsidRPr="00375D65">
              <w:t>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4.</w:t>
            </w:r>
            <w:r w:rsidRPr="00375D65">
              <w:tab/>
              <w:t>Einführungsverordnung vom 22. Dezember 1962 zum Bunde</w:t>
            </w:r>
            <w:r w:rsidRPr="00375D65">
              <w:t>s</w:t>
            </w:r>
            <w:r w:rsidRPr="00375D65">
              <w:t>gesetz über die Investitionskredite und Betriebshilfe in der Landwirt-schaft</w:t>
            </w:r>
            <w:r w:rsidRPr="00375D65">
              <w:rPr>
                <w:rStyle w:val="Endnotenzeichen"/>
              </w:rPr>
              <w:t>14</w:t>
            </w:r>
            <w:r w:rsidRPr="00375D65">
              <w:t>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5.</w:t>
            </w:r>
            <w:r w:rsidRPr="00375D65">
              <w:tab/>
              <w:t>Vollziehungsverordnung vom 3. Juli 1981 zum Landwirtschaft</w:t>
            </w:r>
            <w:r w:rsidRPr="00375D65">
              <w:t>s</w:t>
            </w:r>
            <w:r w:rsidRPr="00375D65">
              <w:t>gesetz über Massnahmen zur Bodenverbesserung (Meliorationsve</w:t>
            </w:r>
            <w:r w:rsidRPr="00375D65">
              <w:t>r</w:t>
            </w:r>
            <w:r w:rsidRPr="00375D65">
              <w:t>ordnung)</w:t>
            </w:r>
            <w:r w:rsidRPr="00375D65">
              <w:rPr>
                <w:rStyle w:val="Endnotenzeichen"/>
              </w:rPr>
              <w:t>15</w:t>
            </w:r>
            <w:r w:rsidRPr="00375D65">
              <w:t>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412DF7">
            <w:pPr>
              <w:pStyle w:val="OFAufzhlung1"/>
              <w:ind w:left="0" w:firstLine="0"/>
            </w:pPr>
            <w:r w:rsidRPr="00375D65">
              <w:t>6.</w:t>
            </w:r>
            <w:r w:rsidRPr="00375D65">
              <w:tab/>
              <w:t>Gesetz vom 27. April 1958 über die Unterstützung von Luftsei</w:t>
            </w:r>
            <w:r w:rsidRPr="00375D65">
              <w:t>l</w:t>
            </w:r>
            <w:r w:rsidRPr="00375D65">
              <w:t>bahnen</w:t>
            </w:r>
            <w:r w:rsidRPr="00375D65">
              <w:rPr>
                <w:rStyle w:val="Endnotenzeichen"/>
              </w:rPr>
              <w:t>16</w:t>
            </w:r>
            <w:r w:rsidRPr="00375D65">
              <w:t>;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7.</w:t>
            </w:r>
            <w:r w:rsidRPr="00375D65">
              <w:tab/>
              <w:t>Landratsbeschluss vom 28. Oktober 1987 über die Bewilligung eines jährlichen Kantonsbeitrages an den Beratungs- und Buchha</w:t>
            </w:r>
            <w:r w:rsidRPr="00375D65">
              <w:t>l</w:t>
            </w:r>
            <w:r w:rsidRPr="00375D65">
              <w:t>tungsring Unterwaldner Landwirte</w:t>
            </w:r>
            <w:r w:rsidRPr="00375D65">
              <w:rPr>
                <w:rStyle w:val="Endnotenzeichen"/>
              </w:rPr>
              <w:t>17</w:t>
            </w:r>
            <w:r w:rsidRPr="00375D65">
              <w:t>,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ufzhlung1"/>
              <w:ind w:left="0" w:firstLine="0"/>
            </w:pPr>
            <w:r w:rsidRPr="00375D65">
              <w:t>8.</w:t>
            </w:r>
            <w:r w:rsidRPr="00375D65">
              <w:tab/>
              <w:t>Einführungsverordnung vom 15. Dezember 1993 zum Bunde</w:t>
            </w:r>
            <w:r w:rsidRPr="00375D65">
              <w:t>s</w:t>
            </w:r>
            <w:r w:rsidRPr="00375D65">
              <w:t>gesetz über das bäuerliche Bodenrecht</w:t>
            </w:r>
            <w:r w:rsidRPr="00375D65">
              <w:rPr>
                <w:rStyle w:val="Endnotenzeichen"/>
              </w:rPr>
              <w:t>18</w:t>
            </w:r>
            <w:r w:rsidRPr="00375D65">
              <w:t>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OFArtikel"/>
            </w:pPr>
            <w:r w:rsidRPr="00375D65">
              <w:t>39</w:t>
            </w:r>
            <w:r w:rsidRPr="00375D65">
              <w:tab/>
              <w:t>Inkrafttreten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Dieses Gesetz untersteht dem fakultativen Referendum.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  <w:tr w:rsidR="001D6555" w:rsidRPr="00375D65" w:rsidTr="00375D65">
        <w:tc>
          <w:tcPr>
            <w:tcW w:w="6345" w:type="dxa"/>
          </w:tcPr>
          <w:p w:rsidR="001D6555" w:rsidRPr="00375D65" w:rsidRDefault="001D6555" w:rsidP="00375D65">
            <w:pPr>
              <w:pStyle w:val="berschrift3"/>
            </w:pPr>
            <w:r w:rsidRPr="00375D65">
              <w:t>Der Regierungsrat legt den Zeitpunkt des Inkrafttretens fest unter Vorbehalt der Genehmigung durch den Bund.</w:t>
            </w:r>
            <w:r w:rsidRPr="00375D65">
              <w:rPr>
                <w:rStyle w:val="Endnotenzeichen"/>
              </w:rPr>
              <w:t>19</w:t>
            </w:r>
          </w:p>
        </w:tc>
        <w:tc>
          <w:tcPr>
            <w:tcW w:w="1134" w:type="dxa"/>
          </w:tcPr>
          <w:p w:rsidR="001D6555" w:rsidRPr="00375D65" w:rsidRDefault="001D6555" w:rsidP="00375D65">
            <w:pPr>
              <w:pStyle w:val="OFAbsatz"/>
            </w:pPr>
          </w:p>
        </w:tc>
        <w:tc>
          <w:tcPr>
            <w:tcW w:w="6237" w:type="dxa"/>
          </w:tcPr>
          <w:p w:rsidR="001D6555" w:rsidRPr="00375D65" w:rsidRDefault="001D6555" w:rsidP="00375D65">
            <w:pPr>
              <w:pStyle w:val="OFAbsatz"/>
            </w:pPr>
          </w:p>
        </w:tc>
      </w:tr>
    </w:tbl>
    <w:p w:rsidR="00AF5E9C" w:rsidRDefault="00AF5E9C">
      <w:pPr>
        <w:pStyle w:val="Endnotentrennlinie"/>
        <w:numPr>
          <w:ilvl w:val="0"/>
          <w:numId w:val="0"/>
        </w:numPr>
      </w:pPr>
      <w:r>
        <w:t>_____________________</w:t>
      </w:r>
    </w:p>
    <w:tbl>
      <w:tblPr>
        <w:tblStyle w:val="Tabellengitternetz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2"/>
        <w:gridCol w:w="8392"/>
      </w:tblGrid>
      <w:tr w:rsidR="00E11384" w:rsidTr="00886E5B">
        <w:tc>
          <w:tcPr>
            <w:tcW w:w="4332" w:type="dxa"/>
          </w:tcPr>
          <w:p w:rsidR="00E11384" w:rsidRP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A 2001, 1459, A 2002, 6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SR 910.1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NG 311.4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SR 837.0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lastRenderedPageBreak/>
              <w:t>NG 211.0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NG 313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NG 211.1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NG 825.1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NG 825.3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NG 826.2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A 1976, 580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A 1994, 2415; A 1995, 194</w:t>
            </w:r>
          </w:p>
          <w:p w:rsidR="00E11384" w:rsidRDefault="00E11384" w:rsidP="00E11384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A 1983, 944; A 1984, 1</w:t>
            </w:r>
          </w:p>
          <w:p w:rsidR="00B33A1B" w:rsidRDefault="00B33A1B" w:rsidP="00B33A1B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1963, 480</w:t>
            </w:r>
          </w:p>
          <w:p w:rsidR="00E11384" w:rsidRPr="00886E5B" w:rsidRDefault="00B33A1B" w:rsidP="00886E5B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1981, 796, 1114</w:t>
            </w:r>
          </w:p>
        </w:tc>
        <w:tc>
          <w:tcPr>
            <w:tcW w:w="8392" w:type="dxa"/>
          </w:tcPr>
          <w:p w:rsidR="00886E5B" w:rsidRDefault="00886E5B" w:rsidP="00B33A1B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lastRenderedPageBreak/>
              <w:t>1958, 393</w:t>
            </w:r>
          </w:p>
          <w:p w:rsidR="00B33A1B" w:rsidRDefault="00B33A1B" w:rsidP="00B33A1B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1987, 1382</w:t>
            </w:r>
          </w:p>
          <w:p w:rsidR="00B33A1B" w:rsidRDefault="00B33A1B" w:rsidP="00B33A1B">
            <w:pPr>
              <w:pStyle w:val="OFEndnotentext"/>
              <w:rPr>
                <w:lang w:val="en-GB"/>
              </w:rPr>
            </w:pPr>
            <w:r>
              <w:rPr>
                <w:lang w:val="en-GB"/>
              </w:rPr>
              <w:t>1993, 1973; 1994, 450; 1995, 427</w:t>
            </w:r>
          </w:p>
          <w:p w:rsidR="00B33A1B" w:rsidRDefault="00B33A1B" w:rsidP="00B33A1B">
            <w:pPr>
              <w:pStyle w:val="OFEndnotentext"/>
            </w:pPr>
            <w:r>
              <w:t>Datum des Inkrafttretens: 1. Januar 2002; vom Bund genehmigt am 28. Januar 2002</w:t>
            </w:r>
          </w:p>
          <w:p w:rsidR="00B33A1B" w:rsidRDefault="00B33A1B" w:rsidP="00B33A1B">
            <w:pPr>
              <w:pStyle w:val="OFEndnotentext"/>
            </w:pPr>
            <w:r>
              <w:lastRenderedPageBreak/>
              <w:t>Fassung gemäss Landratsbeschluss vom 25. Oktober 2006, A 2006, 1705, A 2007, 5; in Kraft seit 1. Januar 2007</w:t>
            </w:r>
          </w:p>
          <w:p w:rsidR="00B33A1B" w:rsidRDefault="00B33A1B" w:rsidP="00B33A1B">
            <w:pPr>
              <w:pStyle w:val="OFEndnotentext"/>
            </w:pPr>
            <w:r>
              <w:t>SR 913.1</w:t>
            </w:r>
          </w:p>
          <w:p w:rsidR="00B33A1B" w:rsidRDefault="00B33A1B" w:rsidP="00B33A1B">
            <w:pPr>
              <w:pStyle w:val="OFEndnotentext"/>
            </w:pPr>
            <w:r>
              <w:t>Fassung gemäss Landratsbeschluss vom 30. Mai 2007, A 2007, 1335, 1971; in Kraft seit 1. Januar 2008</w:t>
            </w:r>
          </w:p>
          <w:p w:rsidR="00B33A1B" w:rsidRDefault="00B33A1B" w:rsidP="00B33A1B">
            <w:pPr>
              <w:pStyle w:val="OFEndnotentext"/>
            </w:pPr>
            <w:r>
              <w:t>Fassung gemäss Landratsbeschluss vom 19. September 2007, A 2007, 1541, 1971; in Kraft seit 1. Januar 2008</w:t>
            </w:r>
          </w:p>
          <w:p w:rsidR="00B33A1B" w:rsidRDefault="00B33A1B" w:rsidP="00B33A1B">
            <w:pPr>
              <w:pStyle w:val="OFEndnotentext"/>
            </w:pPr>
            <w:r>
              <w:t>NG 265.5</w:t>
            </w:r>
          </w:p>
          <w:p w:rsidR="00B33A1B" w:rsidRDefault="00B33A1B" w:rsidP="00B33A1B">
            <w:pPr>
              <w:pStyle w:val="OFEndnotentext"/>
            </w:pPr>
            <w:r>
              <w:t>Fassung gemäss Landratsbeschluss vom 24. Oktober 2007, A 2007, 1734, A 2008, 92; in Kraft seit 1. Januar 2008</w:t>
            </w:r>
          </w:p>
          <w:p w:rsidR="00E11384" w:rsidRDefault="00B33A1B" w:rsidP="00886E5B">
            <w:pPr>
              <w:pStyle w:val="OFEndnotentext"/>
              <w:tabs>
                <w:tab w:val="clear" w:pos="360"/>
              </w:tabs>
            </w:pPr>
            <w:r>
              <w:t>Fassung gemäss Landratsbeschluss vom 14. Dezember 2011, A 2011, 1769; A 2012, 558, in Kraft seit 1. Januar 2012; vom Bund genehmigt am 25. Mai 2012</w:t>
            </w:r>
          </w:p>
        </w:tc>
      </w:tr>
    </w:tbl>
    <w:p w:rsidR="00E11384" w:rsidRPr="005D7BAC" w:rsidRDefault="00E11384" w:rsidP="00886E5B">
      <w:pPr>
        <w:pStyle w:val="OFEndnotentext"/>
        <w:numPr>
          <w:ilvl w:val="0"/>
          <w:numId w:val="0"/>
        </w:numPr>
        <w:ind w:left="142" w:hanging="142"/>
      </w:pPr>
    </w:p>
    <w:sectPr w:rsidR="00E11384" w:rsidRPr="005D7BAC" w:rsidSect="00B33A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6840" w:h="11907" w:orient="landscape" w:code="9"/>
      <w:pgMar w:top="1134" w:right="1304" w:bottom="851" w:left="1134" w:header="567" w:footer="62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E6A" w:rsidRDefault="00704E6A">
      <w:r>
        <w:separator/>
      </w:r>
    </w:p>
  </w:endnote>
  <w:endnote w:type="continuationSeparator" w:id="0">
    <w:p w:rsidR="00704E6A" w:rsidRDefault="00704E6A" w:rsidP="00AF5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">
    <w:panose1 w:val="00000000000000000000"/>
    <w:charset w:val="00"/>
    <w:family w:val="roman"/>
    <w:notTrueType/>
    <w:pitch w:val="default"/>
    <w:sig w:usb0="077A643A" w:usb1="F5560226" w:usb2="06874F4D" w:usb3="01440000" w:csb0="00000001" w:csb1="0064E82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6A" w:rsidRDefault="00647273">
    <w:pPr>
      <w:pStyle w:val="Fuzeile"/>
      <w:rPr>
        <w:sz w:val="16"/>
      </w:rPr>
    </w:pPr>
    <w:r>
      <w:rPr>
        <w:rStyle w:val="Seitenzahl"/>
      </w:rPr>
      <w:fldChar w:fldCharType="begin"/>
    </w:r>
    <w:r w:rsidR="00704E6A"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704E6A">
      <w:rPr>
        <w:rStyle w:val="Seitenzahl"/>
      </w:rPr>
      <w:t>12</w:t>
    </w:r>
    <w:r>
      <w:rPr>
        <w:rStyle w:val="Seitenzahl"/>
      </w:rPr>
      <w:fldChar w:fldCharType="end"/>
    </w:r>
    <w:r w:rsidR="00704E6A">
      <w:rPr>
        <w:rStyle w:val="Seitenzahl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6A" w:rsidRDefault="00704E6A">
    <w:pPr>
      <w:pStyle w:val="Fuzeile"/>
      <w:rPr>
        <w:sz w:val="16"/>
      </w:rPr>
    </w:pPr>
    <w:r>
      <w:rPr>
        <w:sz w:val="16"/>
      </w:rPr>
      <w:t>NG 821.1_</w:t>
    </w:r>
    <w:r w:rsidR="001C3F44">
      <w:rPr>
        <w:sz w:val="16"/>
      </w:rPr>
      <w:t>Antrag an den Landrat</w:t>
    </w:r>
    <w:r>
      <w:rPr>
        <w:sz w:val="16"/>
      </w:rPr>
      <w:tab/>
    </w:r>
    <w:r w:rsidR="00647273"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 w:rsidR="00647273">
      <w:rPr>
        <w:rStyle w:val="Seitenzahl"/>
      </w:rPr>
      <w:fldChar w:fldCharType="separate"/>
    </w:r>
    <w:r w:rsidR="00030773">
      <w:rPr>
        <w:rStyle w:val="Seitenzahl"/>
      </w:rPr>
      <w:t>3</w:t>
    </w:r>
    <w:r w:rsidR="00647273">
      <w:rPr>
        <w:rStyle w:val="Seitenzah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E6A" w:rsidRDefault="00704E6A" w:rsidP="00AF5E9C">
      <w:r>
        <w:separator/>
      </w:r>
    </w:p>
  </w:footnote>
  <w:footnote w:type="continuationSeparator" w:id="0">
    <w:p w:rsidR="00704E6A" w:rsidRDefault="00704E6A" w:rsidP="00AF5E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6A" w:rsidRDefault="00647273" w:rsidP="00E11384">
    <w:pPr>
      <w:pStyle w:val="Kopfzeile"/>
      <w:pBdr>
        <w:bottom w:val="single" w:sz="4" w:space="1" w:color="auto"/>
      </w:pBdr>
      <w:tabs>
        <w:tab w:val="left" w:pos="11482"/>
      </w:tabs>
      <w:rPr>
        <w:sz w:val="16"/>
      </w:rPr>
    </w:pPr>
    <w:r>
      <w:rPr>
        <w:b/>
        <w:sz w:val="28"/>
      </w:rPr>
      <w:fldChar w:fldCharType="begin"/>
    </w:r>
    <w:r w:rsidR="00704E6A">
      <w:rPr>
        <w:b/>
        <w:sz w:val="28"/>
      </w:rPr>
      <w:instrText xml:space="preserve"> DOCPROPERTY"GesetzNummer" </w:instrText>
    </w:r>
    <w:r>
      <w:rPr>
        <w:b/>
        <w:sz w:val="28"/>
      </w:rPr>
      <w:fldChar w:fldCharType="separate"/>
    </w:r>
    <w:r w:rsidR="00BE2D0B">
      <w:rPr>
        <w:b/>
        <w:sz w:val="28"/>
      </w:rPr>
      <w:t>821.1</w:t>
    </w:r>
    <w:r>
      <w:rPr>
        <w:b/>
        <w:sz w:val="28"/>
      </w:rPr>
      <w:fldChar w:fldCharType="end"/>
    </w:r>
    <w:r w:rsidR="00704E6A">
      <w:rPr>
        <w:b/>
        <w:sz w:val="28"/>
      </w:rPr>
      <w:t xml:space="preserve"> </w:t>
    </w:r>
    <w:r>
      <w:fldChar w:fldCharType="begin"/>
    </w:r>
    <w:r w:rsidR="00704E6A">
      <w:instrText xml:space="preserve"> DOCPROPERTY"AnhangGesetz" </w:instrText>
    </w:r>
    <w:r>
      <w:fldChar w:fldCharType="end"/>
    </w:r>
    <w:r w:rsidR="00704E6A">
      <w:rPr>
        <w:b/>
        <w:sz w:val="28"/>
      </w:rPr>
      <w:tab/>
    </w:r>
    <w:r>
      <w:rPr>
        <w:sz w:val="16"/>
      </w:rPr>
      <w:fldChar w:fldCharType="begin"/>
    </w:r>
    <w:r w:rsidR="00704E6A">
      <w:rPr>
        <w:sz w:val="16"/>
      </w:rPr>
      <w:instrText>DOCPROPERTY "KurzNameGesetz"</w:instrText>
    </w:r>
    <w:r>
      <w:rPr>
        <w:sz w:val="16"/>
      </w:rPr>
      <w:fldChar w:fldCharType="separate"/>
    </w:r>
    <w:r w:rsidR="00BE2D0B">
      <w:rPr>
        <w:sz w:val="16"/>
      </w:rPr>
      <w:t>Kantonales Landwirtschaftsgesetz</w:t>
    </w:r>
    <w:r>
      <w:rPr>
        <w:sz w:val="1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6A" w:rsidRDefault="00647273" w:rsidP="005C3BE4">
    <w:pPr>
      <w:pStyle w:val="Kopfzeile"/>
      <w:pBdr>
        <w:bottom w:val="single" w:sz="4" w:space="1" w:color="auto"/>
      </w:pBdr>
      <w:tabs>
        <w:tab w:val="left" w:pos="7513"/>
        <w:tab w:val="left" w:pos="11340"/>
        <w:tab w:val="left" w:pos="12758"/>
      </w:tabs>
      <w:rPr>
        <w:b/>
        <w:sz w:val="28"/>
      </w:rPr>
    </w:pPr>
    <w:r>
      <w:rPr>
        <w:sz w:val="16"/>
      </w:rPr>
      <w:fldChar w:fldCharType="begin"/>
    </w:r>
    <w:r w:rsidR="00704E6A">
      <w:rPr>
        <w:sz w:val="16"/>
      </w:rPr>
      <w:instrText xml:space="preserve"> DOCPROPERTY "KurzNameGesetz" </w:instrText>
    </w:r>
    <w:r>
      <w:rPr>
        <w:sz w:val="16"/>
      </w:rPr>
      <w:fldChar w:fldCharType="separate"/>
    </w:r>
    <w:r w:rsidR="00BE2D0B">
      <w:rPr>
        <w:sz w:val="16"/>
      </w:rPr>
      <w:t>Kantonales Landwirtschaftsgesetz</w:t>
    </w:r>
    <w:r>
      <w:rPr>
        <w:sz w:val="16"/>
      </w:rPr>
      <w:fldChar w:fldCharType="end"/>
    </w:r>
    <w:r w:rsidR="00704E6A">
      <w:rPr>
        <w:b/>
        <w:sz w:val="28"/>
      </w:rPr>
      <w:tab/>
    </w:r>
    <w:r w:rsidR="005C3BE4">
      <w:rPr>
        <w:b/>
        <w:sz w:val="28"/>
      </w:rPr>
      <w:tab/>
    </w:r>
    <w:r w:rsidR="005C3BE4">
      <w:t xml:space="preserve">Antrag an den Landrat </w:t>
    </w:r>
    <w:r>
      <w:fldChar w:fldCharType="begin"/>
    </w:r>
    <w:r w:rsidR="00704E6A">
      <w:instrText xml:space="preserve"> DOCPROPERTY "AnhangGesetz" </w:instrText>
    </w:r>
    <w:r>
      <w:fldChar w:fldCharType="end"/>
    </w:r>
    <w:r w:rsidR="00704E6A">
      <w:rPr>
        <w:b/>
        <w:sz w:val="28"/>
      </w:rPr>
      <w:tab/>
    </w:r>
    <w:r w:rsidR="001C3F44">
      <w:rPr>
        <w:b/>
        <w:sz w:val="28"/>
      </w:rPr>
      <w:tab/>
      <w:t>821.1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6A" w:rsidRDefault="00647273" w:rsidP="00E11384">
    <w:pPr>
      <w:pStyle w:val="Kopfzeile"/>
      <w:pBdr>
        <w:bottom w:val="single" w:sz="4" w:space="1" w:color="auto"/>
      </w:pBdr>
      <w:tabs>
        <w:tab w:val="left" w:pos="11199"/>
      </w:tabs>
      <w:rPr>
        <w:b/>
        <w:sz w:val="28"/>
      </w:rPr>
    </w:pPr>
    <w:r>
      <w:rPr>
        <w:sz w:val="16"/>
      </w:rPr>
      <w:fldChar w:fldCharType="begin"/>
    </w:r>
    <w:r w:rsidR="00704E6A">
      <w:rPr>
        <w:sz w:val="16"/>
      </w:rPr>
      <w:instrText>DOCPROPERTY "KurzNameGesetz"</w:instrText>
    </w:r>
    <w:r>
      <w:rPr>
        <w:sz w:val="16"/>
      </w:rPr>
      <w:fldChar w:fldCharType="separate"/>
    </w:r>
    <w:r w:rsidR="00BE2D0B">
      <w:rPr>
        <w:sz w:val="16"/>
      </w:rPr>
      <w:t>Kantonales Landwirtschaftsgesetz</w:t>
    </w:r>
    <w:r>
      <w:rPr>
        <w:sz w:val="16"/>
      </w:rPr>
      <w:fldChar w:fldCharType="end"/>
    </w:r>
    <w:r w:rsidR="00704E6A">
      <w:tab/>
    </w:r>
    <w:r>
      <w:fldChar w:fldCharType="begin"/>
    </w:r>
    <w:r w:rsidR="00704E6A">
      <w:instrText xml:space="preserve"> DOCPROPERTY</w:instrText>
    </w:r>
    <w:r w:rsidR="00704E6A">
      <w:rPr>
        <w:b/>
      </w:rPr>
      <w:instrText xml:space="preserve"> </w:instrText>
    </w:r>
    <w:r w:rsidR="00704E6A">
      <w:instrText xml:space="preserve">"AnhangGesetz" </w:instrText>
    </w:r>
    <w:r>
      <w:fldChar w:fldCharType="end"/>
    </w:r>
    <w:r w:rsidR="00704E6A">
      <w:rPr>
        <w:b/>
        <w:sz w:val="28"/>
      </w:rPr>
      <w:t xml:space="preserve"> </w:t>
    </w:r>
    <w:r>
      <w:rPr>
        <w:b/>
        <w:sz w:val="28"/>
      </w:rPr>
      <w:fldChar w:fldCharType="begin"/>
    </w:r>
    <w:r w:rsidR="00704E6A">
      <w:rPr>
        <w:b/>
        <w:sz w:val="28"/>
      </w:rPr>
      <w:instrText xml:space="preserve"> DOCPROPERTY "GesetzNummer" </w:instrText>
    </w:r>
    <w:r>
      <w:rPr>
        <w:b/>
        <w:sz w:val="28"/>
      </w:rPr>
      <w:fldChar w:fldCharType="separate"/>
    </w:r>
    <w:r w:rsidR="00BE2D0B">
      <w:rPr>
        <w:b/>
        <w:sz w:val="28"/>
      </w:rPr>
      <w:t>821.1</w:t>
    </w:r>
    <w:r>
      <w:rPr>
        <w:b/>
        <w:sz w:val="28"/>
      </w:rPr>
      <w:fldChar w:fldCharType="end"/>
    </w:r>
    <w:r w:rsidR="00704E6A">
      <w:rPr>
        <w:b/>
        <w:sz w:val="28"/>
      </w:rPr>
      <w:tab/>
      <w:t>Vernehmlassung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8E8"/>
    <w:multiLevelType w:val="singleLevel"/>
    <w:tmpl w:val="BFA4A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021459B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A77D30"/>
    <w:multiLevelType w:val="singleLevel"/>
    <w:tmpl w:val="00C60770"/>
    <w:lvl w:ilvl="0">
      <w:start w:val="1"/>
      <w:numFmt w:val="upperLetter"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9"/>
      </w:rPr>
    </w:lvl>
  </w:abstractNum>
  <w:abstractNum w:abstractNumId="3">
    <w:nsid w:val="03A9072A"/>
    <w:multiLevelType w:val="singleLevel"/>
    <w:tmpl w:val="1938C8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4205E17"/>
    <w:multiLevelType w:val="multilevel"/>
    <w:tmpl w:val="51941240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none"/>
      <w:lvlText w:val="§"/>
      <w:lvlJc w:val="left"/>
      <w:pPr>
        <w:tabs>
          <w:tab w:val="num" w:pos="1134"/>
        </w:tabs>
        <w:ind w:left="1134" w:hanging="1134"/>
      </w:pPr>
      <w:rPr>
        <w:rFonts w:ascii="ari" w:hAnsi="ari" w:hint="default"/>
        <w:b/>
        <w:i w:val="0"/>
        <w:sz w:val="20"/>
      </w:rPr>
    </w:lvl>
    <w:lvl w:ilvl="2">
      <w:start w:val="1"/>
      <w:numFmt w:val="ordinal"/>
      <w:suff w:val="nothing"/>
      <w:lvlText w:val="%3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5D74240"/>
    <w:multiLevelType w:val="singleLevel"/>
    <w:tmpl w:val="02E6879C"/>
    <w:lvl w:ilvl="0">
      <w:start w:val="1"/>
      <w:numFmt w:val="none"/>
      <w:lvlText w:val="§"/>
      <w:lvlJc w:val="left"/>
      <w:pPr>
        <w:tabs>
          <w:tab w:val="num" w:pos="360"/>
        </w:tabs>
        <w:ind w:left="360" w:hanging="360"/>
      </w:pPr>
    </w:lvl>
  </w:abstractNum>
  <w:abstractNum w:abstractNumId="6">
    <w:nsid w:val="05E26CF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68124CD"/>
    <w:multiLevelType w:val="singleLevel"/>
    <w:tmpl w:val="2D7A1F10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093E4EBE"/>
    <w:multiLevelType w:val="multilevel"/>
    <w:tmpl w:val="16005F00"/>
    <w:lvl w:ilvl="0">
      <w:start w:val="1"/>
      <w:numFmt w:val="decimal"/>
      <w:lvlText w:val="Art 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1C6D391E"/>
    <w:multiLevelType w:val="singleLevel"/>
    <w:tmpl w:val="559EE064"/>
    <w:lvl w:ilvl="0">
      <w:start w:val="1"/>
      <w:numFmt w:val="decimal"/>
      <w:pStyle w:val="OFEndnotentext"/>
      <w:lvlText w:val="%1"/>
      <w:lvlJc w:val="left"/>
      <w:pPr>
        <w:tabs>
          <w:tab w:val="num" w:pos="360"/>
        </w:tabs>
        <w:ind w:left="142" w:hanging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vertAlign w:val="superscript"/>
      </w:rPr>
    </w:lvl>
  </w:abstractNum>
  <w:abstractNum w:abstractNumId="10">
    <w:nsid w:val="2A7B64A6"/>
    <w:multiLevelType w:val="multilevel"/>
    <w:tmpl w:val="A52E4B76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38972E0C"/>
    <w:multiLevelType w:val="singleLevel"/>
    <w:tmpl w:val="999471C8"/>
    <w:lvl w:ilvl="0">
      <w:start w:val="1"/>
      <w:numFmt w:val="none"/>
      <w:pStyle w:val="Endnotentrennlinie"/>
      <w:lvlText w:val=""/>
      <w:lvlJc w:val="left"/>
      <w:pPr>
        <w:tabs>
          <w:tab w:val="num" w:pos="2155"/>
        </w:tabs>
        <w:ind w:left="2155" w:hanging="2155"/>
      </w:pPr>
    </w:lvl>
  </w:abstractNum>
  <w:abstractNum w:abstractNumId="12">
    <w:nsid w:val="39566945"/>
    <w:multiLevelType w:val="singleLevel"/>
    <w:tmpl w:val="E5E417F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vertAlign w:val="superscript"/>
      </w:rPr>
    </w:lvl>
  </w:abstractNum>
  <w:abstractNum w:abstractNumId="13">
    <w:nsid w:val="3B946531"/>
    <w:multiLevelType w:val="singleLevel"/>
    <w:tmpl w:val="C31236A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>
    <w:nsid w:val="3C0010EC"/>
    <w:multiLevelType w:val="multilevel"/>
    <w:tmpl w:val="FB349FE4"/>
    <w:lvl w:ilvl="0">
      <w:start w:val="1"/>
      <w:numFmt w:val="decimal"/>
      <w:pStyle w:val="berschrift1"/>
      <w:lvlText w:val="Art. 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berschrift2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none"/>
      <w:pStyle w:val="OFArtikel"/>
      <w:suff w:val="nothing"/>
      <w:lvlText w:val="Art. "/>
      <w:lvlJc w:val="left"/>
      <w:pPr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none"/>
      <w:pStyle w:val="OFParagraph"/>
      <w:suff w:val="nothing"/>
      <w:lvlText w:val="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decimal"/>
      <w:pStyle w:val="berschrift3"/>
      <w:suff w:val="nothing"/>
      <w:lvlText w:val="%9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</w:abstractNum>
  <w:abstractNum w:abstractNumId="15">
    <w:nsid w:val="449D7E59"/>
    <w:multiLevelType w:val="singleLevel"/>
    <w:tmpl w:val="CA3290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5EC4417"/>
    <w:multiLevelType w:val="singleLevel"/>
    <w:tmpl w:val="AB72ADE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">
    <w:nsid w:val="4A6A0DE8"/>
    <w:multiLevelType w:val="singleLevel"/>
    <w:tmpl w:val="5BFE782E"/>
    <w:lvl w:ilvl="0">
      <w:start w:val="1"/>
      <w:numFmt w:val="lowerLetter"/>
      <w:lvlText w:val="%1)"/>
      <w:lvlJc w:val="left"/>
      <w:pPr>
        <w:tabs>
          <w:tab w:val="num" w:pos="860"/>
        </w:tabs>
        <w:ind w:left="860" w:hanging="435"/>
      </w:pPr>
      <w:rPr>
        <w:rFonts w:hint="default"/>
      </w:rPr>
    </w:lvl>
  </w:abstractNum>
  <w:abstractNum w:abstractNumId="18">
    <w:nsid w:val="58A27F89"/>
    <w:multiLevelType w:val="singleLevel"/>
    <w:tmpl w:val="E974A7C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9">
    <w:nsid w:val="5F754A08"/>
    <w:multiLevelType w:val="singleLevel"/>
    <w:tmpl w:val="5C386616"/>
    <w:lvl w:ilvl="0">
      <w:start w:val="1"/>
      <w:numFmt w:val="none"/>
      <w:lvlText w:val=""/>
      <w:lvlJc w:val="left"/>
      <w:pPr>
        <w:tabs>
          <w:tab w:val="num" w:pos="2155"/>
        </w:tabs>
        <w:ind w:left="2155" w:hanging="2155"/>
      </w:pPr>
    </w:lvl>
  </w:abstractNum>
  <w:abstractNum w:abstractNumId="20">
    <w:nsid w:val="651359F1"/>
    <w:multiLevelType w:val="multilevel"/>
    <w:tmpl w:val="6AA6D7A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C4A15DE"/>
    <w:multiLevelType w:val="multilevel"/>
    <w:tmpl w:val="5526F1C0"/>
    <w:lvl w:ilvl="0">
      <w:start w:val="1"/>
      <w:numFmt w:val="decimal"/>
      <w:suff w:val="nothing"/>
      <w:lvlText w:val="Art. %1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suff w:val="nothing"/>
      <w:lvlText w:val="§ %2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none"/>
      <w:suff w:val="nothing"/>
      <w:lvlText w:val="Art. "/>
      <w:lvlJc w:val="left"/>
      <w:pPr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none"/>
      <w:suff w:val="nothing"/>
      <w:lvlText w:val="§ 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>
    <w:nsid w:val="6E0E5A17"/>
    <w:multiLevelType w:val="singleLevel"/>
    <w:tmpl w:val="D8D4C3C8"/>
    <w:lvl w:ilvl="0">
      <w:start w:val="1"/>
      <w:numFmt w:val="upperRoma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3">
    <w:nsid w:val="72D102ED"/>
    <w:multiLevelType w:val="multilevel"/>
    <w:tmpl w:val="7978852A"/>
    <w:lvl w:ilvl="0">
      <w:start w:val="1"/>
      <w:numFmt w:val="decimal"/>
      <w:lvlText w:val="Art. 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none"/>
      <w:suff w:val="nothing"/>
      <w:lvlText w:val="Art. "/>
      <w:lvlJc w:val="left"/>
      <w:pPr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decimal"/>
      <w:suff w:val="nothing"/>
      <w:lvlText w:val="%9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</w:abstractNum>
  <w:abstractNum w:abstractNumId="24">
    <w:nsid w:val="761B4166"/>
    <w:multiLevelType w:val="multilevel"/>
    <w:tmpl w:val="74A0C062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796D19EF"/>
    <w:multiLevelType w:val="singleLevel"/>
    <w:tmpl w:val="20943B48"/>
    <w:lvl w:ilvl="0">
      <w:start w:val="27"/>
      <w:numFmt w:val="lowerLetter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</w:abstractNum>
  <w:abstractNum w:abstractNumId="26">
    <w:nsid w:val="7B02465C"/>
    <w:multiLevelType w:val="multilevel"/>
    <w:tmpl w:val="81788226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7EA30E9F"/>
    <w:multiLevelType w:val="singleLevel"/>
    <w:tmpl w:val="4322C5C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8">
    <w:nsid w:val="7ED0531D"/>
    <w:multiLevelType w:val="singleLevel"/>
    <w:tmpl w:val="9A52D64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vertAlign w:val="superscript"/>
      </w:rPr>
    </w:lvl>
  </w:abstractNum>
  <w:num w:numId="1">
    <w:abstractNumId w:val="22"/>
  </w:num>
  <w:num w:numId="2">
    <w:abstractNumId w:val="10"/>
  </w:num>
  <w:num w:numId="3">
    <w:abstractNumId w:val="5"/>
  </w:num>
  <w:num w:numId="4">
    <w:abstractNumId w:val="4"/>
  </w:num>
  <w:num w:numId="5">
    <w:abstractNumId w:val="24"/>
  </w:num>
  <w:num w:numId="6">
    <w:abstractNumId w:val="26"/>
  </w:num>
  <w:num w:numId="7">
    <w:abstractNumId w:val="23"/>
  </w:num>
  <w:num w:numId="8">
    <w:abstractNumId w:val="8"/>
  </w:num>
  <w:num w:numId="9">
    <w:abstractNumId w:val="21"/>
  </w:num>
  <w:num w:numId="10">
    <w:abstractNumId w:val="2"/>
  </w:num>
  <w:num w:numId="11">
    <w:abstractNumId w:val="16"/>
  </w:num>
  <w:num w:numId="12">
    <w:abstractNumId w:val="18"/>
  </w:num>
  <w:num w:numId="13">
    <w:abstractNumId w:val="13"/>
  </w:num>
  <w:num w:numId="14">
    <w:abstractNumId w:val="3"/>
  </w:num>
  <w:num w:numId="15">
    <w:abstractNumId w:val="15"/>
  </w:num>
  <w:num w:numId="16">
    <w:abstractNumId w:val="12"/>
  </w:num>
  <w:num w:numId="17">
    <w:abstractNumId w:val="28"/>
  </w:num>
  <w:num w:numId="18">
    <w:abstractNumId w:val="9"/>
  </w:num>
  <w:num w:numId="19">
    <w:abstractNumId w:val="19"/>
  </w:num>
  <w:num w:numId="20">
    <w:abstractNumId w:val="11"/>
  </w:num>
  <w:num w:numId="21">
    <w:abstractNumId w:val="7"/>
  </w:num>
  <w:num w:numId="22">
    <w:abstractNumId w:val="27"/>
  </w:num>
  <w:num w:numId="23">
    <w:abstractNumId w:val="20"/>
  </w:num>
  <w:num w:numId="24">
    <w:abstractNumId w:val="6"/>
  </w:num>
  <w:num w:numId="25">
    <w:abstractNumId w:val="1"/>
  </w:num>
  <w:num w:numId="26">
    <w:abstractNumId w:val="0"/>
  </w:num>
  <w:num w:numId="27">
    <w:abstractNumId w:val="17"/>
  </w:num>
  <w:num w:numId="28">
    <w:abstractNumId w:val="25"/>
  </w:num>
  <w:num w:numId="29">
    <w:abstractNumId w:val="14"/>
  </w:num>
  <w:num w:numId="30">
    <w:abstractNumId w:val="9"/>
    <w:lvlOverride w:ilvl="0">
      <w:startOverride w:val="1"/>
    </w:lvlOverride>
  </w:num>
  <w:num w:numId="31">
    <w:abstractNumId w:val="9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25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AA7BC5"/>
    <w:rsid w:val="00030773"/>
    <w:rsid w:val="000547C8"/>
    <w:rsid w:val="00084A22"/>
    <w:rsid w:val="000D20F2"/>
    <w:rsid w:val="000F70F0"/>
    <w:rsid w:val="001C3F44"/>
    <w:rsid w:val="001D6555"/>
    <w:rsid w:val="002E7125"/>
    <w:rsid w:val="00375D65"/>
    <w:rsid w:val="003A0192"/>
    <w:rsid w:val="00412DF7"/>
    <w:rsid w:val="00461DE3"/>
    <w:rsid w:val="004627DB"/>
    <w:rsid w:val="004B6D9D"/>
    <w:rsid w:val="00521953"/>
    <w:rsid w:val="0055600B"/>
    <w:rsid w:val="005C3BE4"/>
    <w:rsid w:val="005D7BAC"/>
    <w:rsid w:val="005F3C9D"/>
    <w:rsid w:val="00604263"/>
    <w:rsid w:val="00611465"/>
    <w:rsid w:val="00647273"/>
    <w:rsid w:val="006B25B8"/>
    <w:rsid w:val="006D3323"/>
    <w:rsid w:val="00704E6A"/>
    <w:rsid w:val="007440C4"/>
    <w:rsid w:val="00747A92"/>
    <w:rsid w:val="00803D77"/>
    <w:rsid w:val="00886E5B"/>
    <w:rsid w:val="008D0E16"/>
    <w:rsid w:val="008D13DA"/>
    <w:rsid w:val="008F71A3"/>
    <w:rsid w:val="009929A5"/>
    <w:rsid w:val="00A1573D"/>
    <w:rsid w:val="00A73566"/>
    <w:rsid w:val="00AA7BC5"/>
    <w:rsid w:val="00AB01A0"/>
    <w:rsid w:val="00AE3A3D"/>
    <w:rsid w:val="00AF5E9C"/>
    <w:rsid w:val="00B114B8"/>
    <w:rsid w:val="00B33A1B"/>
    <w:rsid w:val="00B6316C"/>
    <w:rsid w:val="00B747A2"/>
    <w:rsid w:val="00BC74AF"/>
    <w:rsid w:val="00BE2D0B"/>
    <w:rsid w:val="00C941A8"/>
    <w:rsid w:val="00C968C2"/>
    <w:rsid w:val="00E11384"/>
    <w:rsid w:val="00E42C0D"/>
    <w:rsid w:val="00E96E9C"/>
    <w:rsid w:val="00EB260B"/>
    <w:rsid w:val="00F14698"/>
    <w:rsid w:val="00F26CA4"/>
    <w:rsid w:val="00F63BFF"/>
    <w:rsid w:val="00FC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3A3D"/>
    <w:rPr>
      <w:rFonts w:ascii="Arial" w:hAnsi="Arial"/>
      <w:lang w:eastAsia="de-DE"/>
    </w:rPr>
  </w:style>
  <w:style w:type="paragraph" w:styleId="berschrift1">
    <w:name w:val="heading 1"/>
    <w:next w:val="berschrift3"/>
    <w:qFormat/>
    <w:rsid w:val="00AE3A3D"/>
    <w:pPr>
      <w:keepNext/>
      <w:numPr>
        <w:numId w:val="29"/>
      </w:numPr>
      <w:spacing w:before="240"/>
      <w:outlineLvl w:val="0"/>
    </w:pPr>
    <w:rPr>
      <w:rFonts w:ascii="Arial" w:hAnsi="Arial"/>
      <w:b/>
      <w:noProof/>
      <w:kern w:val="28"/>
      <w:lang w:eastAsia="de-DE"/>
    </w:rPr>
  </w:style>
  <w:style w:type="paragraph" w:styleId="berschrift2">
    <w:name w:val="heading 2"/>
    <w:next w:val="berschrift3"/>
    <w:qFormat/>
    <w:rsid w:val="00AE3A3D"/>
    <w:pPr>
      <w:numPr>
        <w:ilvl w:val="1"/>
        <w:numId w:val="29"/>
      </w:numPr>
      <w:spacing w:before="240"/>
      <w:outlineLvl w:val="1"/>
    </w:pPr>
    <w:rPr>
      <w:rFonts w:ascii="Arial" w:hAnsi="Arial"/>
      <w:b/>
      <w:lang w:eastAsia="de-DE"/>
    </w:rPr>
  </w:style>
  <w:style w:type="paragraph" w:styleId="berschrift3">
    <w:name w:val="heading 3"/>
    <w:link w:val="berschrift3Zchn"/>
    <w:qFormat/>
    <w:rsid w:val="00AE3A3D"/>
    <w:pPr>
      <w:numPr>
        <w:ilvl w:val="8"/>
        <w:numId w:val="29"/>
      </w:numPr>
      <w:tabs>
        <w:tab w:val="left" w:pos="142"/>
      </w:tabs>
      <w:spacing w:before="80"/>
      <w:jc w:val="both"/>
      <w:outlineLvl w:val="2"/>
    </w:pPr>
    <w:rPr>
      <w:rFonts w:ascii="Arial" w:hAnsi="Aria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semiHidden/>
    <w:rsid w:val="00AE3A3D"/>
    <w:pPr>
      <w:tabs>
        <w:tab w:val="right" w:pos="6379"/>
      </w:tabs>
      <w:jc w:val="both"/>
    </w:pPr>
    <w:rPr>
      <w:rFonts w:ascii="Arial" w:hAnsi="Arial"/>
      <w:noProof/>
      <w:lang w:eastAsia="de-DE"/>
    </w:rPr>
  </w:style>
  <w:style w:type="character" w:styleId="Hyperlink">
    <w:name w:val="Hyperlink"/>
    <w:basedOn w:val="Absatz-Standardschriftart"/>
    <w:semiHidden/>
    <w:rsid w:val="00AE3A3D"/>
    <w:rPr>
      <w:color w:val="0000FF"/>
      <w:u w:val="single"/>
    </w:rPr>
  </w:style>
  <w:style w:type="paragraph" w:styleId="Kopfzeile">
    <w:name w:val="header"/>
    <w:semiHidden/>
    <w:rsid w:val="00AE3A3D"/>
    <w:pPr>
      <w:tabs>
        <w:tab w:val="right" w:pos="6379"/>
      </w:tabs>
    </w:pPr>
    <w:rPr>
      <w:rFonts w:ascii="Arial" w:hAnsi="Arial"/>
      <w:noProof/>
      <w:lang w:eastAsia="de-DE"/>
    </w:rPr>
  </w:style>
  <w:style w:type="paragraph" w:customStyle="1" w:styleId="OFAbsatz">
    <w:name w:val="OFAbsatz"/>
    <w:rsid w:val="00AE3A3D"/>
    <w:pPr>
      <w:spacing w:before="80"/>
      <w:jc w:val="both"/>
    </w:pPr>
    <w:rPr>
      <w:rFonts w:ascii="Arial" w:hAnsi="Arial"/>
      <w:lang w:eastAsia="de-DE"/>
    </w:rPr>
  </w:style>
  <w:style w:type="character" w:customStyle="1" w:styleId="OFAbsatzNummer">
    <w:name w:val="OFAbsatzNummer"/>
    <w:basedOn w:val="Absatz-Standardschriftart"/>
    <w:rsid w:val="00AE3A3D"/>
    <w:rPr>
      <w:rFonts w:ascii="Arial" w:hAnsi="Arial"/>
      <w:noProof w:val="0"/>
      <w:sz w:val="12"/>
      <w:lang w:val="de-CH"/>
    </w:rPr>
  </w:style>
  <w:style w:type="paragraph" w:customStyle="1" w:styleId="OFArtikel">
    <w:name w:val="OFArtikel"/>
    <w:next w:val="berschrift3"/>
    <w:rsid w:val="00AE3A3D"/>
    <w:pPr>
      <w:numPr>
        <w:ilvl w:val="3"/>
        <w:numId w:val="29"/>
      </w:numPr>
      <w:spacing w:before="240"/>
    </w:pPr>
    <w:rPr>
      <w:rFonts w:ascii="Arial" w:hAnsi="Arial"/>
      <w:b/>
      <w:lang w:eastAsia="de-DE"/>
    </w:rPr>
  </w:style>
  <w:style w:type="paragraph" w:customStyle="1" w:styleId="OFAufzhlung1">
    <w:name w:val="OFAufzählung1"/>
    <w:rsid w:val="00AE3A3D"/>
    <w:pPr>
      <w:ind w:left="425" w:hanging="425"/>
      <w:jc w:val="both"/>
    </w:pPr>
    <w:rPr>
      <w:rFonts w:ascii="Arial" w:hAnsi="Arial"/>
      <w:lang w:eastAsia="de-DE"/>
    </w:rPr>
  </w:style>
  <w:style w:type="paragraph" w:customStyle="1" w:styleId="OFAufzhlung2">
    <w:name w:val="OFAufzählung2"/>
    <w:rsid w:val="00AE3A3D"/>
    <w:pPr>
      <w:ind w:left="850" w:hanging="425"/>
      <w:jc w:val="both"/>
    </w:pPr>
    <w:rPr>
      <w:rFonts w:ascii="Arial" w:hAnsi="Arial"/>
      <w:lang w:eastAsia="de-DE"/>
    </w:rPr>
  </w:style>
  <w:style w:type="paragraph" w:customStyle="1" w:styleId="OFAufzhlung3">
    <w:name w:val="OFAufzählung3"/>
    <w:rsid w:val="00AE3A3D"/>
    <w:pPr>
      <w:tabs>
        <w:tab w:val="left" w:pos="1276"/>
      </w:tabs>
      <w:ind w:left="1276" w:hanging="425"/>
      <w:jc w:val="both"/>
    </w:pPr>
    <w:rPr>
      <w:rFonts w:ascii="Arial" w:hAnsi="Arial"/>
      <w:lang w:eastAsia="de-DE"/>
    </w:rPr>
  </w:style>
  <w:style w:type="paragraph" w:customStyle="1" w:styleId="OFDatumGesetz">
    <w:name w:val="OFDatumGesetz"/>
    <w:next w:val="OFRat"/>
    <w:rsid w:val="00AE3A3D"/>
    <w:pPr>
      <w:pBdr>
        <w:bottom w:val="single" w:sz="6" w:space="12" w:color="auto"/>
      </w:pBdr>
      <w:spacing w:after="480"/>
    </w:pPr>
    <w:rPr>
      <w:rFonts w:ascii="Arial" w:hAnsi="Arial"/>
      <w:lang w:eastAsia="de-DE"/>
    </w:rPr>
  </w:style>
  <w:style w:type="paragraph" w:styleId="Funotentext">
    <w:name w:val="footnote text"/>
    <w:basedOn w:val="Standard"/>
    <w:semiHidden/>
    <w:rsid w:val="00AE3A3D"/>
  </w:style>
  <w:style w:type="character" w:styleId="Funotenzeichen">
    <w:name w:val="footnote reference"/>
    <w:basedOn w:val="Absatz-Standardschriftart"/>
    <w:semiHidden/>
    <w:rsid w:val="00AE3A3D"/>
    <w:rPr>
      <w:vertAlign w:val="superscript"/>
    </w:rPr>
  </w:style>
  <w:style w:type="paragraph" w:customStyle="1" w:styleId="OFGesetz">
    <w:name w:val="OFGesetz"/>
    <w:next w:val="OFDatumGesetz"/>
    <w:rsid w:val="00AE3A3D"/>
    <w:pPr>
      <w:suppressAutoHyphens/>
      <w:spacing w:before="120" w:after="240"/>
    </w:pPr>
    <w:rPr>
      <w:rFonts w:ascii="Arial" w:hAnsi="Arial"/>
      <w:b/>
      <w:sz w:val="24"/>
      <w:lang w:eastAsia="de-DE"/>
    </w:rPr>
  </w:style>
  <w:style w:type="paragraph" w:customStyle="1" w:styleId="OFGliederung1">
    <w:name w:val="OFGliederung1"/>
    <w:next w:val="OFGliederung2"/>
    <w:rsid w:val="00AE3A3D"/>
    <w:pPr>
      <w:keepNext/>
      <w:tabs>
        <w:tab w:val="left" w:pos="567"/>
      </w:tabs>
      <w:spacing w:before="480"/>
      <w:ind w:left="567" w:hanging="567"/>
    </w:pPr>
    <w:rPr>
      <w:rFonts w:ascii="Arial" w:hAnsi="Arial"/>
      <w:b/>
      <w:caps/>
      <w:lang w:eastAsia="de-DE"/>
    </w:rPr>
  </w:style>
  <w:style w:type="paragraph" w:customStyle="1" w:styleId="OFGliederung2">
    <w:name w:val="OFGliederung2"/>
    <w:next w:val="OFGliederung3"/>
    <w:rsid w:val="00AE3A3D"/>
    <w:pPr>
      <w:keepNext/>
      <w:tabs>
        <w:tab w:val="left" w:pos="567"/>
      </w:tabs>
      <w:spacing w:before="360"/>
      <w:ind w:left="567" w:hanging="567"/>
    </w:pPr>
    <w:rPr>
      <w:rFonts w:ascii="Arial" w:hAnsi="Arial"/>
      <w:b/>
      <w:lang w:eastAsia="de-DE"/>
    </w:rPr>
  </w:style>
  <w:style w:type="paragraph" w:customStyle="1" w:styleId="OFGliederung3">
    <w:name w:val="OFGliederung3"/>
    <w:rsid w:val="00AE3A3D"/>
    <w:pPr>
      <w:keepNext/>
      <w:tabs>
        <w:tab w:val="left" w:pos="567"/>
      </w:tabs>
      <w:spacing w:before="360"/>
      <w:ind w:left="567" w:hanging="567"/>
    </w:pPr>
    <w:rPr>
      <w:rFonts w:ascii="Arial" w:hAnsi="Arial"/>
      <w:b/>
      <w:lang w:eastAsia="de-DE"/>
    </w:rPr>
  </w:style>
  <w:style w:type="paragraph" w:customStyle="1" w:styleId="Endnotentrennlinie">
    <w:name w:val="Endnotentrennlinie"/>
    <w:basedOn w:val="OFEndnotentext"/>
    <w:next w:val="OFEndnotentext"/>
    <w:rsid w:val="00AE3A3D"/>
    <w:pPr>
      <w:numPr>
        <w:numId w:val="20"/>
      </w:numPr>
      <w:tabs>
        <w:tab w:val="clear" w:pos="142"/>
      </w:tabs>
      <w:spacing w:after="120"/>
    </w:pPr>
    <w:rPr>
      <w:sz w:val="20"/>
      <w:u w:val="single"/>
    </w:rPr>
  </w:style>
  <w:style w:type="paragraph" w:styleId="Unterschrift">
    <w:name w:val="Signature"/>
    <w:basedOn w:val="Standard"/>
    <w:semiHidden/>
    <w:rsid w:val="00AE3A3D"/>
    <w:pPr>
      <w:tabs>
        <w:tab w:val="left" w:pos="2977"/>
      </w:tabs>
      <w:spacing w:before="120"/>
      <w:ind w:left="2977" w:hanging="2977"/>
    </w:pPr>
  </w:style>
  <w:style w:type="character" w:styleId="BesuchterHyperlink">
    <w:name w:val="FollowedHyperlink"/>
    <w:basedOn w:val="Absatz-Standardschriftart"/>
    <w:semiHidden/>
    <w:rsid w:val="00AE3A3D"/>
    <w:rPr>
      <w:color w:val="800080"/>
      <w:u w:val="single"/>
    </w:rPr>
  </w:style>
  <w:style w:type="paragraph" w:customStyle="1" w:styleId="OFRat">
    <w:name w:val="OFRat"/>
    <w:next w:val="OFGrundlagen"/>
    <w:rsid w:val="00AE3A3D"/>
    <w:rPr>
      <w:rFonts w:ascii="Arial" w:hAnsi="Arial"/>
      <w:spacing w:val="20"/>
      <w:lang w:eastAsia="de-DE"/>
    </w:rPr>
  </w:style>
  <w:style w:type="paragraph" w:customStyle="1" w:styleId="OFUnterschrift">
    <w:name w:val="OFUnterschrift"/>
    <w:rsid w:val="00AE3A3D"/>
    <w:rPr>
      <w:rFonts w:ascii="Arial" w:hAnsi="Arial"/>
      <w:lang w:eastAsia="de-DE"/>
    </w:rPr>
  </w:style>
  <w:style w:type="character" w:styleId="Seitenzahl">
    <w:name w:val="page number"/>
    <w:basedOn w:val="Absatz-Standardschriftart"/>
    <w:semiHidden/>
    <w:rsid w:val="00AE3A3D"/>
    <w:rPr>
      <w:rFonts w:ascii="Arial" w:hAnsi="Arial"/>
      <w:sz w:val="20"/>
    </w:rPr>
  </w:style>
  <w:style w:type="paragraph" w:customStyle="1" w:styleId="OFGrundlagen">
    <w:name w:val="OFGrundlagen"/>
    <w:next w:val="OFRat"/>
    <w:rsid w:val="00AE3A3D"/>
    <w:pPr>
      <w:spacing w:before="120" w:after="120"/>
      <w:jc w:val="both"/>
    </w:pPr>
    <w:rPr>
      <w:rFonts w:ascii="Arial" w:hAnsi="Arial"/>
      <w:lang w:eastAsia="de-DE"/>
    </w:rPr>
  </w:style>
  <w:style w:type="paragraph" w:customStyle="1" w:styleId="OFManual">
    <w:name w:val="OFManual"/>
    <w:rsid w:val="00AE3A3D"/>
    <w:rPr>
      <w:rFonts w:ascii="Arial" w:hAnsi="Arial"/>
      <w:lang w:eastAsia="de-DE"/>
    </w:rPr>
  </w:style>
  <w:style w:type="paragraph" w:customStyle="1" w:styleId="OFAutotext">
    <w:name w:val="OFAutotext"/>
    <w:rsid w:val="00AE3A3D"/>
    <w:rPr>
      <w:rFonts w:ascii="Arial" w:hAnsi="Arial"/>
      <w:lang w:eastAsia="de-DE"/>
    </w:rPr>
  </w:style>
  <w:style w:type="paragraph" w:customStyle="1" w:styleId="OFParagraph">
    <w:name w:val="OFParagraph"/>
    <w:next w:val="berschrift3"/>
    <w:rsid w:val="00AE3A3D"/>
    <w:pPr>
      <w:numPr>
        <w:ilvl w:val="4"/>
        <w:numId w:val="29"/>
      </w:numPr>
      <w:spacing w:before="240"/>
    </w:pPr>
    <w:rPr>
      <w:rFonts w:ascii="Arial" w:hAnsi="Arial"/>
      <w:b/>
      <w:lang w:eastAsia="de-DE"/>
    </w:rPr>
  </w:style>
  <w:style w:type="character" w:styleId="Endnotenzeichen">
    <w:name w:val="endnote reference"/>
    <w:basedOn w:val="Absatz-Standardschriftart"/>
    <w:semiHidden/>
    <w:rsid w:val="00AE3A3D"/>
    <w:rPr>
      <w:rFonts w:ascii="Arial" w:hAnsi="Arial"/>
      <w:b/>
      <w:dstrike w:val="0"/>
      <w:noProof w:val="0"/>
      <w:color w:val="0000FF"/>
      <w:sz w:val="20"/>
      <w:vertAlign w:val="superscript"/>
      <w:lang w:val="de-CH"/>
    </w:rPr>
  </w:style>
  <w:style w:type="paragraph" w:customStyle="1" w:styleId="OFTabelle2">
    <w:name w:val="OFTabelle2"/>
    <w:rsid w:val="00AE3A3D"/>
    <w:pPr>
      <w:jc w:val="center"/>
    </w:pPr>
    <w:rPr>
      <w:rFonts w:ascii="Arial" w:hAnsi="Arial"/>
      <w:noProof/>
      <w:lang w:eastAsia="de-DE"/>
    </w:rPr>
  </w:style>
  <w:style w:type="paragraph" w:customStyle="1" w:styleId="OFEndnotentext">
    <w:name w:val="OFEndnotentext"/>
    <w:basedOn w:val="Standard"/>
    <w:rsid w:val="00AE3A3D"/>
    <w:pPr>
      <w:numPr>
        <w:numId w:val="18"/>
      </w:numPr>
      <w:tabs>
        <w:tab w:val="left" w:pos="142"/>
      </w:tabs>
    </w:pPr>
    <w:rPr>
      <w:sz w:val="16"/>
    </w:rPr>
  </w:style>
  <w:style w:type="paragraph" w:customStyle="1" w:styleId="OFTabelle1">
    <w:name w:val="OFTabelle1"/>
    <w:rsid w:val="00AE3A3D"/>
    <w:rPr>
      <w:rFonts w:ascii="Arial" w:hAnsi="Arial"/>
      <w:lang w:eastAsia="de-DE"/>
    </w:rPr>
  </w:style>
  <w:style w:type="paragraph" w:customStyle="1" w:styleId="OFTabelle3">
    <w:name w:val="OFTabelle3"/>
    <w:rsid w:val="00AE3A3D"/>
    <w:pPr>
      <w:tabs>
        <w:tab w:val="decimal" w:pos="567"/>
      </w:tabs>
    </w:pPr>
    <w:rPr>
      <w:rFonts w:ascii="Arial" w:hAnsi="Arial"/>
      <w:noProof/>
      <w:lang w:eastAsia="de-DE"/>
    </w:rPr>
  </w:style>
  <w:style w:type="table" w:styleId="Tabellengitternetz">
    <w:name w:val="Table Grid"/>
    <w:basedOn w:val="NormaleTabelle"/>
    <w:uiPriority w:val="59"/>
    <w:rsid w:val="00375D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rsid w:val="00461DE3"/>
    <w:rPr>
      <w:rFonts w:ascii="Arial" w:hAnsi="Arial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4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3AF34-9E7D-4F73-A878-EFC88541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2773</Words>
  <Characters>19007</Characters>
  <Application>Microsoft Office Word</Application>
  <DocSecurity>0</DocSecurity>
  <Lines>404</Lines>
  <Paragraphs>178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Einführungsgesetz</vt:lpstr>
    </vt:vector>
  </TitlesOfParts>
  <Company>InformatikLeistungsZentrum Ob- und Nidwalden</Company>
  <LinksUpToDate>false</LinksUpToDate>
  <CharactersWithSpaces>21602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Einführungsgesetz</dc:title>
  <dc:creator>InformatikLeistungsZentrum</dc:creator>
  <cp:lastModifiedBy>rdnw09</cp:lastModifiedBy>
  <cp:revision>12</cp:revision>
  <cp:lastPrinted>2015-01-16T08:35:00Z</cp:lastPrinted>
  <dcterms:created xsi:type="dcterms:W3CDTF">2014-12-09T12:43:00Z</dcterms:created>
  <dcterms:modified xsi:type="dcterms:W3CDTF">2015-02-24T12:55:00Z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hangGesetz">
    <vt:lpwstr/>
  </property>
  <property fmtid="{D5CDD505-2E9C-101B-9397-08002B2CF9AE}" pid="3" name="GesetzNummer">
    <vt:lpwstr>821.1</vt:lpwstr>
  </property>
  <property fmtid="{D5CDD505-2E9C-101B-9397-08002B2CF9AE}" pid="4" name="KurzNameGesetz">
    <vt:lpwstr>Kantonales Landwirtschaftsgesetz</vt:lpwstr>
  </property>
  <property fmtid="{D5CDD505-2E9C-101B-9397-08002B2CF9AE}" pid="5" name="DatumGesetz">
    <vt:lpwstr>24. Oktober 2001</vt:lpwstr>
  </property>
  <property fmtid="{D5CDD505-2E9C-101B-9397-08002B2CF9AE}" pid="6" name="Stichdatum">
    <vt:lpwstr>Stand: 1. Juni 2012</vt:lpwstr>
  </property>
  <property fmtid="{D5CDD505-2E9C-101B-9397-08002B2CF9AE}" pid="7" name="NameGesetz1">
    <vt:lpwstr>zum Bundesgesetz über die Landwirtschaft</vt:lpwstr>
  </property>
  <property fmtid="{D5CDD505-2E9C-101B-9397-08002B2CF9AE}" pid="8" name="NameGesetz2">
    <vt:lpwstr/>
  </property>
  <property fmtid="{D5CDD505-2E9C-101B-9397-08002B2CF9AE}" pid="9" name="NameGesetz3">
    <vt:lpwstr/>
  </property>
  <property fmtid="{D5CDD505-2E9C-101B-9397-08002B2CF9AE}" pid="10" name="NameGesetz0">
    <vt:lpwstr>Einführungsgesetz</vt:lpwstr>
  </property>
</Properties>
</file>